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3639" w14:textId="77777777" w:rsidR="00080075" w:rsidRDefault="00080075" w:rsidP="00080075">
      <w:bookmarkStart w:id="0" w:name="_Hlk219473359"/>
      <w:r>
        <w:t>253.1 Definitions</w:t>
      </w:r>
    </w:p>
    <w:p w14:paraId="161AA72B" w14:textId="05C382D8" w:rsidR="00080075" w:rsidRDefault="00080075" w:rsidP="00080075">
      <w:pPr>
        <w:rPr>
          <w:u w:val="single"/>
        </w:rPr>
      </w:pPr>
      <w:r>
        <w:rPr>
          <w:u w:val="single"/>
        </w:rPr>
        <w:t xml:space="preserve">(14) “guardianship database query” </w:t>
      </w:r>
      <w:r w:rsidR="00CB589A">
        <w:rPr>
          <w:u w:val="single"/>
        </w:rPr>
        <w:t xml:space="preserve">(GDQ) </w:t>
      </w:r>
      <w:r>
        <w:rPr>
          <w:u w:val="single"/>
        </w:rPr>
        <w:t xml:space="preserve">– a database maintained by the Office of Court Administration, accessed via TLETS terminal, </w:t>
      </w:r>
      <w:r w:rsidR="00CB589A">
        <w:rPr>
          <w:u w:val="single"/>
        </w:rPr>
        <w:t>used to confirm the guardianship status.</w:t>
      </w:r>
    </w:p>
    <w:p w14:paraId="38A8F3C9" w14:textId="44993E43" w:rsidR="00080075" w:rsidRPr="00463CEA" w:rsidRDefault="00080075" w:rsidP="00080075">
      <w:pPr>
        <w:rPr>
          <w:u w:val="single"/>
        </w:rPr>
      </w:pPr>
      <w:r w:rsidRPr="00463CEA">
        <w:rPr>
          <w:u w:val="single"/>
        </w:rPr>
        <w:t>(20)  "Legally authorized representative" (LAR) has the meaning assigned in Texas Occupations Code Chapter 151.002</w:t>
      </w:r>
      <w:r w:rsidR="00AB0E18">
        <w:rPr>
          <w:u w:val="single"/>
        </w:rPr>
        <w:t>, as amended.  As of the adoption of this rule, LAR includes</w:t>
      </w:r>
      <w:r w:rsidRPr="00463CEA">
        <w:rPr>
          <w:u w:val="single"/>
        </w:rPr>
        <w:t>:</w:t>
      </w:r>
    </w:p>
    <w:p w14:paraId="449D4002" w14:textId="77777777" w:rsidR="00080075" w:rsidRPr="00463CEA" w:rsidRDefault="00080075" w:rsidP="00080075">
      <w:pPr>
        <w:ind w:firstLine="720"/>
        <w:rPr>
          <w:u w:val="single"/>
        </w:rPr>
      </w:pPr>
      <w:r w:rsidRPr="00463CEA">
        <w:rPr>
          <w:u w:val="single"/>
        </w:rPr>
        <w:t>(A)  a parent or legal guardian if the inmate is a minor;</w:t>
      </w:r>
    </w:p>
    <w:p w14:paraId="5FAD6C55" w14:textId="77777777" w:rsidR="00080075" w:rsidRPr="00463CEA" w:rsidRDefault="00080075" w:rsidP="00080075">
      <w:pPr>
        <w:ind w:left="720"/>
        <w:rPr>
          <w:u w:val="single"/>
        </w:rPr>
      </w:pPr>
      <w:r w:rsidRPr="00463CEA">
        <w:rPr>
          <w:u w:val="single"/>
        </w:rPr>
        <w:t>(B)  a legal guardian if the inmate has been adjudicated incompetent to manage the inmate's personal affairs;</w:t>
      </w:r>
    </w:p>
    <w:p w14:paraId="1B21F064" w14:textId="77777777" w:rsidR="00080075" w:rsidRPr="00463CEA" w:rsidRDefault="00080075" w:rsidP="00080075">
      <w:pPr>
        <w:ind w:left="720"/>
        <w:rPr>
          <w:u w:val="single"/>
        </w:rPr>
      </w:pPr>
      <w:r w:rsidRPr="00463CEA">
        <w:rPr>
          <w:u w:val="single"/>
        </w:rPr>
        <w:t>(C)  an agent of the inmate authorized under a durable power of attorney for health care;</w:t>
      </w:r>
    </w:p>
    <w:p w14:paraId="000FFB4F" w14:textId="77777777" w:rsidR="00080075" w:rsidRPr="00463CEA" w:rsidRDefault="00080075" w:rsidP="00080075">
      <w:pPr>
        <w:ind w:firstLine="720"/>
        <w:rPr>
          <w:u w:val="single"/>
        </w:rPr>
      </w:pPr>
      <w:r w:rsidRPr="00463CEA">
        <w:rPr>
          <w:u w:val="single"/>
        </w:rPr>
        <w:t>(D)  an attorney ad litem appointed for the inmate;</w:t>
      </w:r>
    </w:p>
    <w:p w14:paraId="0028A40D" w14:textId="77777777" w:rsidR="00080075" w:rsidRPr="00463CEA" w:rsidRDefault="00080075" w:rsidP="00080075">
      <w:pPr>
        <w:ind w:firstLine="720"/>
        <w:rPr>
          <w:u w:val="single"/>
        </w:rPr>
      </w:pPr>
      <w:r w:rsidRPr="00463CEA">
        <w:rPr>
          <w:u w:val="single"/>
        </w:rPr>
        <w:t>(E)  a guardian ad litem appointed for the inmate;</w:t>
      </w:r>
    </w:p>
    <w:p w14:paraId="322A297E" w14:textId="4E896FEC" w:rsidR="00080075" w:rsidRPr="00463CEA" w:rsidRDefault="00080075" w:rsidP="00080075">
      <w:pPr>
        <w:ind w:firstLine="720"/>
        <w:rPr>
          <w:u w:val="single"/>
        </w:rPr>
      </w:pPr>
      <w:r w:rsidRPr="00463CEA">
        <w:rPr>
          <w:u w:val="single"/>
        </w:rPr>
        <w:t>(F)  a personal representative or statutory beneficiary if the inmate is deceased; or</w:t>
      </w:r>
    </w:p>
    <w:p w14:paraId="16B74827" w14:textId="5C257EF3" w:rsidR="00080075" w:rsidRPr="00F52D09" w:rsidRDefault="00080075" w:rsidP="00F52D09">
      <w:pPr>
        <w:ind w:left="720"/>
        <w:rPr>
          <w:u w:val="single"/>
        </w:rPr>
      </w:pPr>
      <w:r w:rsidRPr="00463CEA">
        <w:rPr>
          <w:u w:val="single"/>
        </w:rPr>
        <w:t>(G)  an attorney retained by the inmate or by another person listed by this subdivision.</w:t>
      </w:r>
      <w:bookmarkEnd w:id="0"/>
    </w:p>
    <w:p w14:paraId="024EA8E9" w14:textId="77777777" w:rsidR="00080075" w:rsidRDefault="00080075" w:rsidP="00C81B29"/>
    <w:p w14:paraId="46BEC499" w14:textId="4CCD7D59" w:rsidR="00E225FC" w:rsidRDefault="00E225FC" w:rsidP="00C81B29">
      <w:r>
        <w:t>216.6 Complaints</w:t>
      </w:r>
    </w:p>
    <w:p w14:paraId="30A7F7D6" w14:textId="0596FAAB" w:rsidR="00E225FC" w:rsidRPr="00F52D09" w:rsidRDefault="00E225FC" w:rsidP="00C81B29">
      <w:pPr>
        <w:rPr>
          <w:u w:val="single"/>
        </w:rPr>
      </w:pPr>
      <w:r w:rsidRPr="00F52D09">
        <w:rPr>
          <w:u w:val="single"/>
        </w:rPr>
        <w:t xml:space="preserve">(c)(2) An inmate handbook shall be issued to a Guardian/LAR upon </w:t>
      </w:r>
      <w:r w:rsidR="00AB0E18">
        <w:rPr>
          <w:u w:val="single"/>
        </w:rPr>
        <w:t xml:space="preserve">the jail’s </w:t>
      </w:r>
      <w:r w:rsidRPr="00F52D09">
        <w:rPr>
          <w:u w:val="single"/>
        </w:rPr>
        <w:t>receipt of verified guardianship documentation</w:t>
      </w:r>
      <w:r w:rsidR="00AB0E18">
        <w:rPr>
          <w:u w:val="single"/>
        </w:rPr>
        <w:t xml:space="preserve"> and </w:t>
      </w:r>
      <w:r w:rsidR="00836B02">
        <w:rPr>
          <w:u w:val="single"/>
        </w:rPr>
        <w:t xml:space="preserve">the Guardian’s </w:t>
      </w:r>
      <w:r w:rsidR="00AB0E18">
        <w:rPr>
          <w:u w:val="single"/>
        </w:rPr>
        <w:t>contact information</w:t>
      </w:r>
      <w:r w:rsidRPr="00F52D09">
        <w:rPr>
          <w:u w:val="single"/>
        </w:rPr>
        <w:t>. It shall be documented in the inmate file</w:t>
      </w:r>
      <w:r w:rsidR="007220B6" w:rsidRPr="00F52D09">
        <w:rPr>
          <w:u w:val="single"/>
        </w:rPr>
        <w:t xml:space="preserve"> whether</w:t>
      </w:r>
      <w:r w:rsidRPr="00F52D09">
        <w:rPr>
          <w:u w:val="single"/>
        </w:rPr>
        <w:t xml:space="preserve"> the Guardian/LAR refuses</w:t>
      </w:r>
      <w:r w:rsidR="007220B6" w:rsidRPr="00F52D09">
        <w:rPr>
          <w:u w:val="single"/>
        </w:rPr>
        <w:t xml:space="preserve"> or accepts</w:t>
      </w:r>
      <w:r w:rsidRPr="00F52D09">
        <w:rPr>
          <w:u w:val="single"/>
        </w:rPr>
        <w:t xml:space="preserve"> the inmate handbook.</w:t>
      </w:r>
    </w:p>
    <w:p w14:paraId="6B5A22AF" w14:textId="77777777" w:rsidR="00E225FC" w:rsidRDefault="00E225FC" w:rsidP="00C81B29"/>
    <w:p w14:paraId="00E1EC68" w14:textId="77777777" w:rsidR="00845F87" w:rsidRDefault="00C81B29" w:rsidP="00C81B29">
      <w:r w:rsidRPr="00C81B29">
        <w:t xml:space="preserve">§265.4. Inmate Files. </w:t>
      </w:r>
    </w:p>
    <w:p w14:paraId="7C153C36" w14:textId="163B6D6F" w:rsidR="00C81B29" w:rsidRDefault="00C81B29" w:rsidP="00C81B29">
      <w:r w:rsidRPr="00C81B29">
        <w:t>(a) Upon intake, a file on each inmate shall be established. The file shall include:</w:t>
      </w:r>
    </w:p>
    <w:p w14:paraId="0C2ABE46" w14:textId="056AC499" w:rsidR="00845F87" w:rsidRPr="00F52D09" w:rsidRDefault="00B03AD8" w:rsidP="00F52D09">
      <w:pPr>
        <w:pStyle w:val="ListParagraph"/>
        <w:numPr>
          <w:ilvl w:val="0"/>
          <w:numId w:val="17"/>
        </w:numPr>
        <w:rPr>
          <w:u w:val="single"/>
        </w:rPr>
      </w:pPr>
      <w:r w:rsidRPr="00F52D09">
        <w:rPr>
          <w:u w:val="single"/>
        </w:rPr>
        <w:t>for inmates who have been appointed a guardian</w:t>
      </w:r>
      <w:r w:rsidR="00FE7392" w:rsidRPr="00F52D09">
        <w:rPr>
          <w:u w:val="single"/>
        </w:rPr>
        <w:t>:</w:t>
      </w:r>
      <w:r w:rsidRPr="00F52D09">
        <w:rPr>
          <w:u w:val="single"/>
        </w:rPr>
        <w:t xml:space="preserve"> the following information</w:t>
      </w:r>
      <w:r w:rsidR="00181B4E" w:rsidRPr="00F52D09">
        <w:rPr>
          <w:u w:val="single"/>
        </w:rPr>
        <w:t>,</w:t>
      </w:r>
      <w:r w:rsidR="00E9588A" w:rsidRPr="00F52D09">
        <w:rPr>
          <w:u w:val="single"/>
        </w:rPr>
        <w:t xml:space="preserve"> the information contained in the Guardianship Database Query</w:t>
      </w:r>
      <w:r w:rsidR="00267AB2" w:rsidRPr="00F52D09">
        <w:rPr>
          <w:u w:val="single"/>
        </w:rPr>
        <w:t xml:space="preserve"> (GDQ)</w:t>
      </w:r>
      <w:r w:rsidR="00E9588A" w:rsidRPr="00F52D09">
        <w:rPr>
          <w:u w:val="single"/>
        </w:rPr>
        <w:t xml:space="preserve"> return, under Texas Government Code 155.153, and documentation showing that the court with jurisdiction </w:t>
      </w:r>
      <w:r w:rsidR="00D4758F" w:rsidRPr="00F52D09">
        <w:rPr>
          <w:u w:val="single"/>
        </w:rPr>
        <w:t xml:space="preserve">over the guardianship </w:t>
      </w:r>
      <w:r w:rsidR="00E9588A" w:rsidRPr="00F52D09">
        <w:rPr>
          <w:u w:val="single"/>
        </w:rPr>
        <w:t>has been notified</w:t>
      </w:r>
      <w:r w:rsidR="00D4758F" w:rsidRPr="00F52D09">
        <w:rPr>
          <w:u w:val="single"/>
        </w:rPr>
        <w:t xml:space="preserve"> per Code of Criminal Procedure §15.055(b); </w:t>
      </w:r>
      <w:r w:rsidRPr="00F52D09">
        <w:rPr>
          <w:u w:val="single"/>
        </w:rPr>
        <w:t xml:space="preserve"> </w:t>
      </w:r>
    </w:p>
    <w:p w14:paraId="7A9F4601" w14:textId="77777777" w:rsidR="00845F87" w:rsidRDefault="00845F87" w:rsidP="00845F87">
      <w:pPr>
        <w:pStyle w:val="ListParagraph"/>
        <w:numPr>
          <w:ilvl w:val="0"/>
          <w:numId w:val="17"/>
        </w:numPr>
      </w:pPr>
      <w:r w:rsidRPr="00C81B29">
        <w:lastRenderedPageBreak/>
        <w:t>name of inmate with aliases;</w:t>
      </w:r>
    </w:p>
    <w:p w14:paraId="680B71E4" w14:textId="77777777" w:rsidR="00845F87" w:rsidRDefault="00845F87" w:rsidP="00845F87">
      <w:pPr>
        <w:pStyle w:val="ListParagraph"/>
        <w:numPr>
          <w:ilvl w:val="0"/>
          <w:numId w:val="17"/>
        </w:numPr>
      </w:pPr>
      <w:r w:rsidRPr="00C81B29">
        <w:t>description;</w:t>
      </w:r>
    </w:p>
    <w:p w14:paraId="0274C7C3" w14:textId="77777777" w:rsidR="00845F87" w:rsidRDefault="00845F87" w:rsidP="00845F87">
      <w:pPr>
        <w:pStyle w:val="ListParagraph"/>
        <w:numPr>
          <w:ilvl w:val="0"/>
          <w:numId w:val="17"/>
        </w:numPr>
      </w:pPr>
      <w:r w:rsidRPr="00C81B29">
        <w:t>Gender</w:t>
      </w:r>
    </w:p>
    <w:p w14:paraId="693841F8" w14:textId="77777777" w:rsidR="00845F87" w:rsidRDefault="00845F87" w:rsidP="00845F87">
      <w:pPr>
        <w:pStyle w:val="ListParagraph"/>
        <w:numPr>
          <w:ilvl w:val="0"/>
          <w:numId w:val="17"/>
        </w:numPr>
      </w:pPr>
      <w:r w:rsidRPr="00C81B29">
        <w:t>marital status;</w:t>
      </w:r>
    </w:p>
    <w:p w14:paraId="26C6A68E" w14:textId="77777777" w:rsidR="00845F87" w:rsidRDefault="00845F87" w:rsidP="00845F87">
      <w:pPr>
        <w:pStyle w:val="ListParagraph"/>
        <w:numPr>
          <w:ilvl w:val="0"/>
          <w:numId w:val="17"/>
        </w:numPr>
      </w:pPr>
      <w:r w:rsidRPr="00C81B29">
        <w:t>address;</w:t>
      </w:r>
    </w:p>
    <w:p w14:paraId="00EBAF46" w14:textId="77777777" w:rsidR="00845F87" w:rsidRDefault="00845F87" w:rsidP="00845F87">
      <w:pPr>
        <w:pStyle w:val="ListParagraph"/>
        <w:numPr>
          <w:ilvl w:val="0"/>
          <w:numId w:val="17"/>
        </w:numPr>
      </w:pPr>
      <w:r w:rsidRPr="00C81B29">
        <w:t>date of birth;</w:t>
      </w:r>
    </w:p>
    <w:p w14:paraId="3B380465" w14:textId="77777777" w:rsidR="00845F87" w:rsidRDefault="00845F87" w:rsidP="00845F87">
      <w:pPr>
        <w:pStyle w:val="ListParagraph"/>
        <w:numPr>
          <w:ilvl w:val="0"/>
          <w:numId w:val="17"/>
        </w:numPr>
      </w:pPr>
      <w:r w:rsidRPr="00C81B29">
        <w:t>offense charged;</w:t>
      </w:r>
    </w:p>
    <w:p w14:paraId="6DA8AB7D" w14:textId="77777777" w:rsidR="00845F87" w:rsidRDefault="00845F87" w:rsidP="00845F87">
      <w:pPr>
        <w:pStyle w:val="ListParagraph"/>
        <w:numPr>
          <w:ilvl w:val="0"/>
          <w:numId w:val="17"/>
        </w:numPr>
      </w:pPr>
      <w:r>
        <w:t>d</w:t>
      </w:r>
      <w:r w:rsidRPr="00C81B29">
        <w:t>ate of commitment;</w:t>
      </w:r>
    </w:p>
    <w:p w14:paraId="127EE1AB" w14:textId="77777777" w:rsidR="00845F87" w:rsidRDefault="00845F87" w:rsidP="00F52D09">
      <w:pPr>
        <w:pStyle w:val="ListParagraph"/>
        <w:numPr>
          <w:ilvl w:val="0"/>
          <w:numId w:val="19"/>
        </w:numPr>
      </w:pPr>
      <w:r w:rsidRPr="00C81B29">
        <w:t>previous criminal record;</w:t>
      </w:r>
    </w:p>
    <w:p w14:paraId="20CBDC04" w14:textId="77777777" w:rsidR="00845F87" w:rsidRDefault="00845F87" w:rsidP="00F52D09">
      <w:pPr>
        <w:pStyle w:val="ListParagraph"/>
        <w:numPr>
          <w:ilvl w:val="0"/>
          <w:numId w:val="19"/>
        </w:numPr>
      </w:pPr>
      <w:r>
        <w:t>r</w:t>
      </w:r>
      <w:r w:rsidRPr="00C81B29">
        <w:t>ecord of injuries;</w:t>
      </w:r>
    </w:p>
    <w:p w14:paraId="36CBA927" w14:textId="77777777" w:rsidR="00845F87" w:rsidRDefault="00845F87" w:rsidP="00F52D09">
      <w:pPr>
        <w:pStyle w:val="ListParagraph"/>
        <w:numPr>
          <w:ilvl w:val="0"/>
          <w:numId w:val="19"/>
        </w:numPr>
      </w:pPr>
      <w:r>
        <w:t>i</w:t>
      </w:r>
      <w:r w:rsidRPr="00C81B29">
        <w:t>nmate property inventory;</w:t>
      </w:r>
    </w:p>
    <w:p w14:paraId="35554A70" w14:textId="77777777" w:rsidR="00845F87" w:rsidRDefault="00845F87" w:rsidP="00F52D09">
      <w:pPr>
        <w:pStyle w:val="ListParagraph"/>
        <w:numPr>
          <w:ilvl w:val="0"/>
          <w:numId w:val="19"/>
        </w:numPr>
      </w:pPr>
      <w:r w:rsidRPr="00C81B29">
        <w:t>disabilities warranting special accessibility consideration;</w:t>
      </w:r>
    </w:p>
    <w:p w14:paraId="27BA289B" w14:textId="09978B54" w:rsidR="00845F87" w:rsidRDefault="00845F87" w:rsidP="00F52D09">
      <w:pPr>
        <w:pStyle w:val="ListParagraph"/>
        <w:numPr>
          <w:ilvl w:val="0"/>
          <w:numId w:val="19"/>
        </w:numPr>
      </w:pPr>
      <w:r w:rsidRPr="00C81B29">
        <w:t>name, address, and phone number of person to be contacted in event of</w:t>
      </w:r>
      <w:r>
        <w:t xml:space="preserve"> </w:t>
      </w:r>
      <w:r w:rsidRPr="00C81B29">
        <w:t>emergency;</w:t>
      </w:r>
    </w:p>
    <w:p w14:paraId="7882F4A9" w14:textId="77777777" w:rsidR="00845F87" w:rsidRDefault="00845F87" w:rsidP="00F52D09">
      <w:pPr>
        <w:pStyle w:val="ListParagraph"/>
        <w:numPr>
          <w:ilvl w:val="0"/>
          <w:numId w:val="19"/>
        </w:numPr>
      </w:pPr>
      <w:r w:rsidRPr="00C81B29">
        <w:t>the name of the delivering officer, and the arresting agency;</w:t>
      </w:r>
    </w:p>
    <w:p w14:paraId="755F9C1C" w14:textId="6C04CED6" w:rsidR="00845F87" w:rsidRDefault="00845F87" w:rsidP="00F52D09">
      <w:pPr>
        <w:pStyle w:val="ListParagraph"/>
        <w:numPr>
          <w:ilvl w:val="0"/>
          <w:numId w:val="19"/>
        </w:numPr>
      </w:pPr>
      <w:r w:rsidRPr="00C81B29">
        <w:t>documents that purport to legally authorize the inmate's commitment</w:t>
      </w:r>
      <w:r w:rsidR="003D30BC">
        <w:t>;</w:t>
      </w:r>
    </w:p>
    <w:p w14:paraId="757B4571" w14:textId="0F7FDCDC" w:rsidR="00845F87" w:rsidRPr="00463CEA" w:rsidRDefault="00845F87" w:rsidP="00F52D09">
      <w:pPr>
        <w:pStyle w:val="ListParagraph"/>
        <w:numPr>
          <w:ilvl w:val="0"/>
          <w:numId w:val="19"/>
        </w:numPr>
      </w:pPr>
      <w:r>
        <w:rPr>
          <w:rFonts w:ascii="Times New Roman" w:eastAsia="Times New Roman" w:hAnsi="Times New Roman" w:cs="Times New Roman"/>
          <w:kern w:val="0"/>
          <w:u w:val="single"/>
          <w14:ligatures w14:val="none"/>
        </w:rPr>
        <w:t>certificate of guardianship or letters of guardianship, as defined in Texas Estates Code Chapter 1106</w:t>
      </w:r>
      <w:r w:rsidR="003D30BC">
        <w:rPr>
          <w:rFonts w:ascii="Times New Roman" w:eastAsia="Times New Roman" w:hAnsi="Times New Roman" w:cs="Times New Roman"/>
          <w:kern w:val="0"/>
          <w:u w:val="single"/>
          <w14:ligatures w14:val="none"/>
        </w:rPr>
        <w:t>; and</w:t>
      </w:r>
      <w:r w:rsidRPr="00296C48">
        <w:rPr>
          <w:rFonts w:ascii="Times New Roman" w:eastAsia="Times New Roman" w:hAnsi="Times New Roman" w:cs="Times New Roman"/>
          <w:kern w:val="0"/>
          <w:u w:val="single"/>
          <w14:ligatures w14:val="none"/>
        </w:rPr>
        <w:t xml:space="preserve"> </w:t>
      </w:r>
    </w:p>
    <w:p w14:paraId="491C1C27" w14:textId="374893CD" w:rsidR="00845F87" w:rsidRPr="00F52D09" w:rsidRDefault="003D30BC" w:rsidP="00F52D09">
      <w:pPr>
        <w:pStyle w:val="ListParagraph"/>
        <w:numPr>
          <w:ilvl w:val="0"/>
          <w:numId w:val="19"/>
        </w:numPr>
        <w:rPr>
          <w:u w:val="single"/>
        </w:rPr>
      </w:pPr>
      <w:r>
        <w:rPr>
          <w:u w:val="single"/>
        </w:rPr>
        <w:t>d</w:t>
      </w:r>
      <w:r w:rsidR="00845F87" w:rsidRPr="00F52D09">
        <w:rPr>
          <w:u w:val="single"/>
        </w:rPr>
        <w:t>ocumentation showing whether the Guardian/LAR refuses or accepts the inmate handbook.</w:t>
      </w:r>
    </w:p>
    <w:p w14:paraId="5E09EA4D" w14:textId="77777777" w:rsidR="00C81B29" w:rsidRPr="00C81B29" w:rsidRDefault="00C81B29" w:rsidP="00C81B29">
      <w:r w:rsidRPr="00C81B29">
        <w:t>(b) Upon intake, a medical record shall be established and shall be kept separate.</w:t>
      </w:r>
    </w:p>
    <w:p w14:paraId="19D08C43" w14:textId="77777777" w:rsidR="00296C48" w:rsidRDefault="00296C48" w:rsidP="00C81B29"/>
    <w:p w14:paraId="04586A90" w14:textId="77777777" w:rsidR="00C81B29" w:rsidRPr="00C81B29" w:rsidRDefault="00C81B29" w:rsidP="00C81B29">
      <w:r w:rsidRPr="00C81B29">
        <w:t>§265.5. Health Tags.</w:t>
      </w:r>
    </w:p>
    <w:p w14:paraId="08FD1AA0" w14:textId="1DABE83E" w:rsidR="00C81B29" w:rsidRDefault="00C81B29" w:rsidP="00C81B29">
      <w:r w:rsidRPr="00C81B29">
        <w:t>"Health tags" which may identify the inmate as having special medical or mental health needs</w:t>
      </w:r>
      <w:r w:rsidR="00D31DEA" w:rsidRPr="00F52D09">
        <w:rPr>
          <w:u w:val="single"/>
        </w:rPr>
        <w:t>, or</w:t>
      </w:r>
      <w:r>
        <w:rPr>
          <w:u w:val="single"/>
        </w:rPr>
        <w:t xml:space="preserve"> a </w:t>
      </w:r>
      <w:r w:rsidR="00D31DEA">
        <w:rPr>
          <w:u w:val="single"/>
        </w:rPr>
        <w:t>G</w:t>
      </w:r>
      <w:r>
        <w:rPr>
          <w:u w:val="single"/>
        </w:rPr>
        <w:t>uardian/LAR</w:t>
      </w:r>
      <w:r w:rsidRPr="00C81B29">
        <w:t xml:space="preserve"> shall be noted in the inmate's medical record and brought to the</w:t>
      </w:r>
      <w:r>
        <w:t xml:space="preserve"> </w:t>
      </w:r>
      <w:r w:rsidRPr="00C81B29">
        <w:t>attention of health personnel and the supervisor on duty</w:t>
      </w:r>
      <w:r w:rsidR="004655E6">
        <w:t xml:space="preserve"> </w:t>
      </w:r>
      <w:r w:rsidR="004655E6" w:rsidRPr="00F52D09">
        <w:rPr>
          <w:u w:val="single"/>
        </w:rPr>
        <w:t>in writing</w:t>
      </w:r>
      <w:r w:rsidRPr="00C81B29">
        <w:t>.</w:t>
      </w:r>
    </w:p>
    <w:p w14:paraId="79014FFE" w14:textId="77777777" w:rsidR="00296C48" w:rsidRDefault="00296C48" w:rsidP="00C81B29"/>
    <w:p w14:paraId="7E1EF82D" w14:textId="77777777" w:rsidR="00C81B29" w:rsidRPr="00C81B29" w:rsidRDefault="00C81B29" w:rsidP="00C81B29">
      <w:r w:rsidRPr="00C81B29">
        <w:t>§265.7. Telephone Use.</w:t>
      </w:r>
    </w:p>
    <w:p w14:paraId="4CA83D00" w14:textId="069741CD" w:rsidR="00C81B29" w:rsidRDefault="00C81B29" w:rsidP="00C81B29">
      <w:pPr>
        <w:rPr>
          <w:u w:val="single"/>
        </w:rPr>
      </w:pPr>
      <w:r w:rsidRPr="00C81B29">
        <w:t>A telephone shall be available for inmates' use within the processing area. The facility shall allow reasonable access to a written or electronic contact list that is in</w:t>
      </w:r>
      <w:r>
        <w:t xml:space="preserve"> </w:t>
      </w:r>
      <w:r w:rsidRPr="00C81B29">
        <w:t>the inmate's possession upon booking.</w:t>
      </w:r>
      <w:r w:rsidR="00535623">
        <w:t xml:space="preserve"> </w:t>
      </w:r>
      <w:r w:rsidR="00535623">
        <w:rPr>
          <w:u w:val="single"/>
        </w:rPr>
        <w:t xml:space="preserve">For inmates with </w:t>
      </w:r>
      <w:r w:rsidR="004F180A">
        <w:rPr>
          <w:u w:val="single"/>
        </w:rPr>
        <w:t>a G</w:t>
      </w:r>
      <w:r w:rsidR="00535623">
        <w:rPr>
          <w:u w:val="single"/>
        </w:rPr>
        <w:t xml:space="preserve">uardian/LAR, the jail shall attempt to facilitate </w:t>
      </w:r>
      <w:r w:rsidR="003275A3">
        <w:rPr>
          <w:u w:val="single"/>
        </w:rPr>
        <w:t xml:space="preserve">telephone </w:t>
      </w:r>
      <w:r w:rsidR="00535623">
        <w:rPr>
          <w:u w:val="single"/>
        </w:rPr>
        <w:t xml:space="preserve">communication with the </w:t>
      </w:r>
      <w:r w:rsidR="004F180A">
        <w:rPr>
          <w:u w:val="single"/>
        </w:rPr>
        <w:t>G</w:t>
      </w:r>
      <w:r w:rsidR="00535623">
        <w:rPr>
          <w:u w:val="single"/>
        </w:rPr>
        <w:t xml:space="preserve">uardian/LAR. </w:t>
      </w:r>
    </w:p>
    <w:p w14:paraId="63C57330" w14:textId="77777777" w:rsidR="00080075" w:rsidRDefault="00080075" w:rsidP="00C81B29">
      <w:pPr>
        <w:rPr>
          <w:u w:val="single"/>
        </w:rPr>
      </w:pPr>
    </w:p>
    <w:p w14:paraId="5BD9CE63" w14:textId="77777777" w:rsidR="00646105" w:rsidRDefault="00646105" w:rsidP="00646105">
      <w:pPr>
        <w:pStyle w:val="NormalWeb"/>
        <w:spacing w:before="0" w:beforeAutospacing="0"/>
        <w:ind w:left="375"/>
        <w:rPr>
          <w:rFonts w:ascii="Arial" w:hAnsi="Arial" w:cs="Arial"/>
          <w:color w:val="212529"/>
          <w:u w:val="single"/>
        </w:rPr>
      </w:pPr>
      <w:r>
        <w:rPr>
          <w:rFonts w:ascii="Arial" w:hAnsi="Arial" w:cs="Arial"/>
          <w:color w:val="212529"/>
          <w:u w:val="single"/>
        </w:rPr>
        <w:t>267.7 Release of Ward</w:t>
      </w:r>
    </w:p>
    <w:p w14:paraId="4DCF8A39" w14:textId="77777777" w:rsidR="00646105" w:rsidRDefault="00646105" w:rsidP="00646105">
      <w:pPr>
        <w:pStyle w:val="NormalWeb"/>
        <w:spacing w:before="0" w:beforeAutospacing="0"/>
        <w:ind w:left="375"/>
        <w:rPr>
          <w:rFonts w:ascii="Arial" w:hAnsi="Arial" w:cs="Arial"/>
          <w:color w:val="212529"/>
          <w:u w:val="single"/>
        </w:rPr>
      </w:pPr>
      <w:r>
        <w:rPr>
          <w:rFonts w:ascii="Arial" w:hAnsi="Arial" w:cs="Arial"/>
          <w:color w:val="212529"/>
          <w:u w:val="single"/>
        </w:rPr>
        <w:lastRenderedPageBreak/>
        <w:t xml:space="preserve">For inmates who have a Guardianship registered with the GDQ, or who have a LAR, the releasing officer shall attempt to coordinate release with the Guardian/LAR, and release the inmate into the custody of the Guardian/LAR or a person/facility of the Guardian/LAR’s choice. A record of the person/facility taking custody of the inmate shall be maintained. </w:t>
      </w:r>
    </w:p>
    <w:p w14:paraId="2DF699E1" w14:textId="1EADFDEF" w:rsidR="00646105" w:rsidRDefault="00646105" w:rsidP="00646105">
      <w:pPr>
        <w:pStyle w:val="NormalWeb"/>
        <w:spacing w:before="0" w:beforeAutospacing="0"/>
        <w:ind w:left="375"/>
        <w:rPr>
          <w:rFonts w:ascii="Arial" w:hAnsi="Arial" w:cs="Arial"/>
          <w:color w:val="212529"/>
          <w:u w:val="single"/>
        </w:rPr>
      </w:pPr>
      <w:r w:rsidRPr="00463CEA">
        <w:rPr>
          <w:rFonts w:ascii="Arial" w:hAnsi="Arial" w:cs="Arial"/>
          <w:color w:val="212529"/>
          <w:u w:val="single"/>
        </w:rPr>
        <w:t xml:space="preserve">If jail staff cannot make contact with the Guardian/LAR after </w:t>
      </w:r>
      <w:r w:rsidR="00E574A6">
        <w:rPr>
          <w:rFonts w:ascii="Arial" w:hAnsi="Arial" w:cs="Arial"/>
          <w:color w:val="212529"/>
          <w:u w:val="single"/>
        </w:rPr>
        <w:t>three</w:t>
      </w:r>
      <w:r w:rsidR="003275A3">
        <w:rPr>
          <w:rFonts w:ascii="Arial" w:hAnsi="Arial" w:cs="Arial"/>
          <w:color w:val="212529"/>
          <w:u w:val="single"/>
        </w:rPr>
        <w:t xml:space="preserve"> </w:t>
      </w:r>
      <w:r w:rsidRPr="00463CEA">
        <w:rPr>
          <w:rFonts w:ascii="Arial" w:hAnsi="Arial" w:cs="Arial"/>
          <w:color w:val="212529"/>
          <w:u w:val="single"/>
        </w:rPr>
        <w:t>documented attempt</w:t>
      </w:r>
      <w:r w:rsidR="00E574A6">
        <w:rPr>
          <w:rFonts w:ascii="Arial" w:hAnsi="Arial" w:cs="Arial"/>
          <w:color w:val="212529"/>
          <w:u w:val="single"/>
        </w:rPr>
        <w:t>s</w:t>
      </w:r>
      <w:r w:rsidRPr="00463CEA">
        <w:rPr>
          <w:rFonts w:ascii="Arial" w:hAnsi="Arial" w:cs="Arial"/>
          <w:color w:val="212529"/>
          <w:u w:val="single"/>
        </w:rPr>
        <w:t>, or if the Guardian/LAR refuses to take custody of the inmate, the inmate shall be released according to normal releasing procedures</w:t>
      </w:r>
      <w:r>
        <w:rPr>
          <w:rFonts w:ascii="Arial" w:hAnsi="Arial" w:cs="Arial"/>
          <w:color w:val="212529"/>
          <w:u w:val="single"/>
        </w:rPr>
        <w:t xml:space="preserve"> per 37 Texas Administrative Code 267. </w:t>
      </w:r>
      <w:r w:rsidR="00E574A6">
        <w:rPr>
          <w:rFonts w:ascii="Arial" w:hAnsi="Arial" w:cs="Arial"/>
          <w:color w:val="212529"/>
          <w:u w:val="single"/>
        </w:rPr>
        <w:t xml:space="preserve"> </w:t>
      </w:r>
      <w:r w:rsidR="00E574A6" w:rsidRPr="00E574A6">
        <w:rPr>
          <w:rFonts w:ascii="Arial" w:hAnsi="Arial" w:cs="Arial"/>
          <w:color w:val="212529"/>
          <w:u w:val="single"/>
        </w:rPr>
        <w:t>Attempts to make contact with a Guardian/LAR shall not delay release of the inmate when release is required by law.</w:t>
      </w:r>
    </w:p>
    <w:p w14:paraId="1CEC0CBB" w14:textId="77777777" w:rsidR="00296C48" w:rsidRDefault="00296C48" w:rsidP="00C81B29">
      <w:pPr>
        <w:rPr>
          <w:u w:val="single"/>
        </w:rPr>
      </w:pPr>
    </w:p>
    <w:p w14:paraId="6D3D1D07" w14:textId="77777777" w:rsidR="00535623" w:rsidRDefault="00535623" w:rsidP="00C81B29">
      <w:pPr>
        <w:rPr>
          <w:u w:val="single"/>
        </w:rPr>
      </w:pPr>
    </w:p>
    <w:p w14:paraId="36F4FAC7" w14:textId="5AF4E2F1" w:rsidR="00535623" w:rsidRPr="00535623" w:rsidRDefault="00535623" w:rsidP="00C81B29">
      <w:r w:rsidRPr="00535623">
        <w:t>273.2 Health Services Plan</w:t>
      </w:r>
    </w:p>
    <w:p w14:paraId="1899673B" w14:textId="77777777" w:rsidR="00535623" w:rsidRDefault="00535623" w:rsidP="00535623">
      <w:pPr>
        <w:pStyle w:val="NormalWeb"/>
        <w:spacing w:before="0" w:beforeAutospacing="0"/>
        <w:rPr>
          <w:rFonts w:ascii="Arial" w:hAnsi="Arial" w:cs="Arial"/>
          <w:color w:val="212529"/>
        </w:rPr>
      </w:pPr>
      <w:bookmarkStart w:id="1" w:name="TITLE_37_PUBLIC_SAFETY_AND_CORRECTIONS_P"/>
      <w:bookmarkStart w:id="2" w:name="_bookmark0"/>
      <w:bookmarkEnd w:id="1"/>
      <w:bookmarkEnd w:id="2"/>
      <w:r>
        <w:rPr>
          <w:rFonts w:ascii="Arial" w:hAnsi="Arial" w:cs="Arial"/>
          <w:color w:val="212529"/>
        </w:rPr>
        <w:t>Each facility shall have and implement a written plan, approved by the Commission, for inmate medical, mental, and dental services. The plan shall:</w:t>
      </w:r>
    </w:p>
    <w:p w14:paraId="501A00C6"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 provide procedures for regularly scheduled sick calls;</w:t>
      </w:r>
    </w:p>
    <w:p w14:paraId="109C8A91"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(2) provide procedures for referral for medical, mental, and dental services;</w:t>
      </w:r>
    </w:p>
    <w:p w14:paraId="607C9FF6"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(3) provide procedures for efficient and prompt care for acute and emergency situations;</w:t>
      </w:r>
    </w:p>
    <w:p w14:paraId="28117E8E"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(4) provide procedures for long-term, convalescent, and care necessary for disabled inmates;</w:t>
      </w:r>
    </w:p>
    <w:p w14:paraId="4230CD6D"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(5) provide procedures for medical, to include obstetrical and gynecological care, mental, nutritional requirements, special housing and appropriate work assignments and the documented use of restraints during labor, delivery and recovery for known pregnant inmates. A sheriff/operator shall notify the commission of any changes in policies and procedures in the provision of health care to pregnant prisoners. A sheriff/operator shall notify the commission of any changes in policies and procedures in the placement of a pregnant prisoner in administrative separation. As soon as practicable after receiving a report of a miscarriage or physical or sexual assault of a pregnant inmate while in the custody of a county jail, the sheriff shall ensure that an obstetrician or gynecologist and a mental health professional promptly:</w:t>
      </w:r>
    </w:p>
    <w:p w14:paraId="65459F25" w14:textId="77777777" w:rsidR="00535623" w:rsidRDefault="00535623" w:rsidP="00535623">
      <w:pPr>
        <w:pStyle w:val="NormalWeb"/>
        <w:spacing w:before="0" w:beforeAutospacing="0"/>
        <w:ind w:left="750"/>
        <w:rPr>
          <w:rFonts w:ascii="Arial" w:hAnsi="Arial" w:cs="Arial"/>
          <w:color w:val="212529"/>
        </w:rPr>
      </w:pPr>
      <w:r>
        <w:rPr>
          <w:rFonts w:ascii="Arial" w:hAnsi="Arial" w:cs="Arial"/>
          <w:color w:val="212529"/>
        </w:rPr>
        <w:t>(A) review the health care services provided to the prisoner; and</w:t>
      </w:r>
    </w:p>
    <w:p w14:paraId="3AF73265" w14:textId="77777777" w:rsidR="00535623" w:rsidRDefault="00535623" w:rsidP="00535623">
      <w:pPr>
        <w:pStyle w:val="NormalWeb"/>
        <w:spacing w:before="0" w:beforeAutospacing="0"/>
        <w:ind w:left="750"/>
        <w:rPr>
          <w:rFonts w:ascii="Arial" w:hAnsi="Arial" w:cs="Arial"/>
          <w:color w:val="212529"/>
        </w:rPr>
      </w:pPr>
      <w:r>
        <w:rPr>
          <w:rFonts w:ascii="Arial" w:hAnsi="Arial" w:cs="Arial"/>
          <w:color w:val="212529"/>
        </w:rPr>
        <w:t>(B) order additional health care services, including obstetrical and gynecological services and mental health services, as appropriate.</w:t>
      </w:r>
    </w:p>
    <w:p w14:paraId="3855325F"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(6) provide procedures for the control, distribution, secured storage, inventory, and disposal of prescriptions, syringes, needles, and hazardous waste containers;</w:t>
      </w:r>
    </w:p>
    <w:p w14:paraId="377A2CA5"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(7) provide procedures for the distribution of prescriptions in accordance with written instructions from a physician by an appropriate person designated by the sheriff/operator;</w:t>
      </w:r>
    </w:p>
    <w:p w14:paraId="650F9061"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(8) provide procedures for the control, distribution, and secured storage of over-the-counter medications;</w:t>
      </w:r>
    </w:p>
    <w:p w14:paraId="2122BC4C"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(9) provide procedures for the rights of inmates to refuse health care in accordance with informed consent standards for certain treatments and procedures (in the case of minors, the informed consent of a parent, guardian, or legal custodian, when required, shall be sufficient);</w:t>
      </w:r>
    </w:p>
    <w:p w14:paraId="4C9E6808"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(10) provide procedures for all examinations, treatments, and other procedures to be performed in a reasonable and dignified manner and place;</w:t>
      </w:r>
    </w:p>
    <w:p w14:paraId="7409CC20"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(11) provide that adequate first aid equipment and patient evacuation equipment be on hand at all times;</w:t>
      </w:r>
    </w:p>
    <w:p w14:paraId="36E8E3EF"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(12) provide procedures that shall require that a qualified medical professional shall review as soon as possible any prescription medication an inmate is taking when the inmate is taken into custody. These procedures shall include providing each prescription medication that a qualified medical professional or mental health professional determines is necessary for the care, treatment, or stabilization of an inmate with mental illness;</w:t>
      </w:r>
    </w:p>
    <w:p w14:paraId="1F7D087D" w14:textId="77777777"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(13) provide procedures that shall give inmates the ability to access a mental health professional at the jail or through a telemental health service 24 hours a day and approved by the Commission by August 31, 2020. If a mental health professional is not present at the county jail at the time or available by telemental health services, then require the jail to provide the inmate access to, at a minimum, a qualified mental health professional (as defined by 25 TAC §412.303(48)) within a reasonable time;</w:t>
      </w:r>
    </w:p>
    <w:p w14:paraId="1ABB73E3" w14:textId="3822CB03"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 xml:space="preserve">(14) provide procedures that shall give prisoners the ability to access a health professional at the jail or through a telehealth service 24 hours a day or, if a health professional is unavailable at the jail or through a telehealth service, provide for a prisoner to be transported to access a health professional and approved by the Commission by August 31, 2020; </w:t>
      </w:r>
    </w:p>
    <w:p w14:paraId="24598217" w14:textId="29D30244" w:rsidR="00535623" w:rsidRDefault="00535623" w:rsidP="00535623">
      <w:pPr>
        <w:pStyle w:val="NormalWeb"/>
        <w:spacing w:before="0" w:beforeAutospacing="0"/>
        <w:ind w:left="375"/>
        <w:rPr>
          <w:rFonts w:ascii="Arial" w:hAnsi="Arial" w:cs="Arial"/>
          <w:color w:val="212529"/>
        </w:rPr>
      </w:pPr>
      <w:r>
        <w:rPr>
          <w:rFonts w:ascii="Arial" w:hAnsi="Arial" w:cs="Arial"/>
          <w:color w:val="212529"/>
        </w:rPr>
        <w:t>(15) provide procedures to train staff to identify when a pregnant inmate is in labor and provide access to appropriate care. Inmates shall be promptly transported to a local hospital when they state that they are in labor or are determined by a person at the level of emergency medical technician or above to be in labor</w:t>
      </w:r>
      <w:r w:rsidR="004F180A">
        <w:rPr>
          <w:rFonts w:ascii="Arial" w:hAnsi="Arial" w:cs="Arial"/>
          <w:color w:val="212529"/>
        </w:rPr>
        <w:t>; and</w:t>
      </w:r>
    </w:p>
    <w:p w14:paraId="17DC4AE5" w14:textId="139EB178" w:rsidR="00535623" w:rsidRDefault="00535623" w:rsidP="00535623">
      <w:pPr>
        <w:pStyle w:val="NormalWeb"/>
        <w:spacing w:before="0" w:beforeAutospacing="0"/>
        <w:ind w:left="375"/>
        <w:rPr>
          <w:rFonts w:ascii="Arial" w:hAnsi="Arial" w:cs="Arial"/>
          <w:color w:val="212529"/>
          <w:u w:val="single"/>
        </w:rPr>
      </w:pPr>
      <w:r w:rsidRPr="00535623">
        <w:rPr>
          <w:rFonts w:ascii="Arial" w:hAnsi="Arial" w:cs="Arial"/>
          <w:color w:val="212529"/>
          <w:u w:val="single"/>
        </w:rPr>
        <w:t>(16) provide procedures for</w:t>
      </w:r>
      <w:r w:rsidR="004B7B65">
        <w:rPr>
          <w:rFonts w:ascii="Arial" w:hAnsi="Arial" w:cs="Arial"/>
          <w:color w:val="212529"/>
          <w:u w:val="single"/>
        </w:rPr>
        <w:t xml:space="preserve"> a</w:t>
      </w:r>
      <w:r w:rsidRPr="00535623">
        <w:rPr>
          <w:rFonts w:ascii="Arial" w:hAnsi="Arial" w:cs="Arial"/>
          <w:color w:val="212529"/>
          <w:u w:val="single"/>
        </w:rPr>
        <w:t xml:space="preserve"> </w:t>
      </w:r>
      <w:r w:rsidR="004F180A">
        <w:rPr>
          <w:rFonts w:ascii="Arial" w:hAnsi="Arial" w:cs="Arial"/>
          <w:color w:val="212529"/>
          <w:u w:val="single"/>
        </w:rPr>
        <w:t>G</w:t>
      </w:r>
      <w:r w:rsidRPr="00535623">
        <w:rPr>
          <w:rFonts w:ascii="Arial" w:hAnsi="Arial" w:cs="Arial"/>
          <w:color w:val="212529"/>
          <w:u w:val="single"/>
        </w:rPr>
        <w:t xml:space="preserve">uardian/LAR </w:t>
      </w:r>
      <w:r w:rsidR="008A3961">
        <w:rPr>
          <w:rFonts w:ascii="Arial" w:hAnsi="Arial" w:cs="Arial"/>
          <w:color w:val="212529"/>
          <w:u w:val="single"/>
        </w:rPr>
        <w:t xml:space="preserve">to have access to their Ward’s jail medical records and the opportunity to </w:t>
      </w:r>
      <w:r w:rsidRPr="00535623">
        <w:rPr>
          <w:rFonts w:ascii="Arial" w:hAnsi="Arial" w:cs="Arial"/>
          <w:color w:val="212529"/>
          <w:u w:val="single"/>
        </w:rPr>
        <w:t>make informed decision</w:t>
      </w:r>
      <w:r w:rsidR="00296C48">
        <w:rPr>
          <w:rFonts w:ascii="Arial" w:hAnsi="Arial" w:cs="Arial"/>
          <w:color w:val="212529"/>
          <w:u w:val="single"/>
        </w:rPr>
        <w:t>s</w:t>
      </w:r>
      <w:r w:rsidR="008A3961">
        <w:rPr>
          <w:rFonts w:ascii="Arial" w:hAnsi="Arial" w:cs="Arial"/>
          <w:color w:val="212529"/>
          <w:u w:val="single"/>
        </w:rPr>
        <w:t xml:space="preserve"> and/or provide consent</w:t>
      </w:r>
      <w:r w:rsidRPr="00535623">
        <w:rPr>
          <w:rFonts w:ascii="Arial" w:hAnsi="Arial" w:cs="Arial"/>
          <w:color w:val="212529"/>
          <w:u w:val="single"/>
        </w:rPr>
        <w:t xml:space="preserve"> for their </w:t>
      </w:r>
      <w:r w:rsidR="008A3961">
        <w:rPr>
          <w:rFonts w:ascii="Arial" w:hAnsi="Arial" w:cs="Arial"/>
          <w:color w:val="212529"/>
          <w:u w:val="single"/>
        </w:rPr>
        <w:t>W</w:t>
      </w:r>
      <w:r w:rsidRPr="00535623">
        <w:rPr>
          <w:rFonts w:ascii="Arial" w:hAnsi="Arial" w:cs="Arial"/>
          <w:color w:val="212529"/>
          <w:u w:val="single"/>
        </w:rPr>
        <w:t>ard’s medical care</w:t>
      </w:r>
      <w:r w:rsidR="008A3961">
        <w:rPr>
          <w:rFonts w:ascii="Arial" w:hAnsi="Arial" w:cs="Arial"/>
          <w:color w:val="212529"/>
          <w:u w:val="single"/>
        </w:rPr>
        <w:t>,</w:t>
      </w:r>
      <w:r w:rsidR="004655E6">
        <w:rPr>
          <w:rFonts w:ascii="Arial" w:hAnsi="Arial" w:cs="Arial"/>
          <w:color w:val="212529"/>
          <w:u w:val="single"/>
        </w:rPr>
        <w:t xml:space="preserve"> as authorized by Texas Health and Safety Code 313.004</w:t>
      </w:r>
      <w:r w:rsidRPr="00535623">
        <w:rPr>
          <w:rFonts w:ascii="Arial" w:hAnsi="Arial" w:cs="Arial"/>
          <w:color w:val="212529"/>
          <w:u w:val="single"/>
        </w:rPr>
        <w:t xml:space="preserve">. </w:t>
      </w:r>
    </w:p>
    <w:p w14:paraId="411A63CD" w14:textId="77777777" w:rsidR="00427315" w:rsidRDefault="00427315" w:rsidP="00F52D09">
      <w:pPr>
        <w:pStyle w:val="NormalWeb"/>
        <w:spacing w:before="0" w:beforeAutospacing="0"/>
        <w:rPr>
          <w:rFonts w:ascii="Arial" w:hAnsi="Arial" w:cs="Arial"/>
          <w:color w:val="212529"/>
          <w:u w:val="single"/>
        </w:rPr>
      </w:pPr>
    </w:p>
    <w:p w14:paraId="314D3818" w14:textId="056426E1" w:rsidR="00427315" w:rsidRPr="00F52D09" w:rsidRDefault="00427315" w:rsidP="00427315">
      <w:pPr>
        <w:rPr>
          <w:u w:val="single"/>
        </w:rPr>
      </w:pPr>
      <w:r w:rsidRPr="00F52D09">
        <w:rPr>
          <w:u w:val="single"/>
        </w:rPr>
        <w:t>273.9 Guardianship</w:t>
      </w:r>
    </w:p>
    <w:p w14:paraId="53FD73F5" w14:textId="15BDE6D5" w:rsidR="00427315" w:rsidRPr="00F52D09" w:rsidRDefault="00427315" w:rsidP="00427315">
      <w:pPr>
        <w:rPr>
          <w:u w:val="single"/>
        </w:rPr>
      </w:pPr>
      <w:r w:rsidRPr="00F52D09">
        <w:rPr>
          <w:u w:val="single"/>
        </w:rPr>
        <w:t xml:space="preserve">(1)  "Guardian" has the meaning assigned by Section </w:t>
      </w:r>
      <w:hyperlink r:id="rId6" w:tgtFrame="_blank" w:history="1">
        <w:r w:rsidRPr="00CB589A">
          <w:rPr>
            <w:rStyle w:val="Hyperlink"/>
          </w:rPr>
          <w:t>1002.012</w:t>
        </w:r>
      </w:hyperlink>
      <w:r w:rsidRPr="00F52D09">
        <w:rPr>
          <w:u w:val="single"/>
        </w:rPr>
        <w:t>, Estates Code.</w:t>
      </w:r>
    </w:p>
    <w:p w14:paraId="5B12B346" w14:textId="0838B3F4" w:rsidR="00D4758F" w:rsidRPr="00F52D09" w:rsidRDefault="00D4758F" w:rsidP="00427315">
      <w:pPr>
        <w:rPr>
          <w:u w:val="single"/>
        </w:rPr>
      </w:pPr>
      <w:r w:rsidRPr="00F52D09">
        <w:rPr>
          <w:u w:val="single"/>
        </w:rPr>
        <w:t>(2) “Legally Authorized Representative” has the meaning assigned by</w:t>
      </w:r>
      <w:r w:rsidR="004655E6" w:rsidRPr="00F52D09">
        <w:rPr>
          <w:u w:val="single"/>
        </w:rPr>
        <w:t xml:space="preserve"> the current</w:t>
      </w:r>
      <w:r w:rsidRPr="00F52D09">
        <w:rPr>
          <w:u w:val="single"/>
        </w:rPr>
        <w:t xml:space="preserve"> </w:t>
      </w:r>
      <w:r w:rsidR="004655E6" w:rsidRPr="00F52D09">
        <w:rPr>
          <w:u w:val="single"/>
        </w:rPr>
        <w:t xml:space="preserve">Texas Occupations Code 151.002(a)(6). </w:t>
      </w:r>
    </w:p>
    <w:p w14:paraId="311F9B0B" w14:textId="6A67798A" w:rsidR="00D4758F" w:rsidRPr="00F52D09" w:rsidRDefault="00427315" w:rsidP="00427315">
      <w:pPr>
        <w:rPr>
          <w:u w:val="single"/>
        </w:rPr>
      </w:pPr>
      <w:r w:rsidRPr="00F52D09">
        <w:rPr>
          <w:u w:val="single"/>
        </w:rPr>
        <w:t>(</w:t>
      </w:r>
      <w:r w:rsidR="00CB589A" w:rsidRPr="00F52D09">
        <w:rPr>
          <w:u w:val="single"/>
        </w:rPr>
        <w:t>3</w:t>
      </w:r>
      <w:r w:rsidRPr="00F52D09">
        <w:rPr>
          <w:u w:val="single"/>
        </w:rPr>
        <w:t xml:space="preserve">)  "Letters of guardianship" means a certificate issued under Section </w:t>
      </w:r>
      <w:hyperlink r:id="rId7" w:tgtFrame="_blank" w:history="1">
        <w:r w:rsidRPr="00CB589A">
          <w:rPr>
            <w:rStyle w:val="Hyperlink"/>
          </w:rPr>
          <w:t>1106.001</w:t>
        </w:r>
      </w:hyperlink>
      <w:r w:rsidRPr="00F52D09">
        <w:rPr>
          <w:u w:val="single"/>
        </w:rPr>
        <w:t xml:space="preserve">(a), Estates Code. </w:t>
      </w:r>
    </w:p>
    <w:p w14:paraId="3A201470" w14:textId="06937ACD" w:rsidR="00267AB2" w:rsidRPr="00F52D09" w:rsidRDefault="00267AB2" w:rsidP="00427315">
      <w:pPr>
        <w:rPr>
          <w:u w:val="single"/>
        </w:rPr>
      </w:pPr>
      <w:r w:rsidRPr="00F52D09">
        <w:rPr>
          <w:u w:val="single"/>
        </w:rPr>
        <w:t>(</w:t>
      </w:r>
      <w:r w:rsidR="00CB589A" w:rsidRPr="00F52D09">
        <w:rPr>
          <w:u w:val="single"/>
        </w:rPr>
        <w:t>4</w:t>
      </w:r>
      <w:r w:rsidRPr="00F52D09">
        <w:rPr>
          <w:u w:val="single"/>
        </w:rPr>
        <w:t>) “Guardianship Database Query” has the meaning a</w:t>
      </w:r>
      <w:r w:rsidR="00EA1325" w:rsidRPr="00F52D09">
        <w:rPr>
          <w:u w:val="single"/>
        </w:rPr>
        <w:t xml:space="preserve">s set forth in Texas Government Code Chapter 155, Subchapter D. </w:t>
      </w:r>
    </w:p>
    <w:p w14:paraId="02934CCB" w14:textId="28A16CE4" w:rsidR="00427315" w:rsidRPr="00F52D09" w:rsidRDefault="00427315" w:rsidP="00427315">
      <w:pPr>
        <w:rPr>
          <w:u w:val="single"/>
        </w:rPr>
      </w:pPr>
      <w:r w:rsidRPr="00F52D09">
        <w:rPr>
          <w:b/>
          <w:bCs/>
          <w:u w:val="single"/>
        </w:rPr>
        <w:t>(</w:t>
      </w:r>
      <w:r w:rsidR="00CB589A" w:rsidRPr="00F52D09">
        <w:rPr>
          <w:b/>
          <w:bCs/>
          <w:u w:val="single"/>
        </w:rPr>
        <w:t>5</w:t>
      </w:r>
      <w:r w:rsidRPr="00F52D09">
        <w:rPr>
          <w:b/>
          <w:bCs/>
          <w:u w:val="single"/>
        </w:rPr>
        <w:t xml:space="preserve">) Texas Jail Medical Treatment Policy for Inmates with </w:t>
      </w:r>
      <w:r w:rsidR="00CE44AC" w:rsidRPr="00F52D09">
        <w:rPr>
          <w:b/>
          <w:bCs/>
          <w:u w:val="single"/>
        </w:rPr>
        <w:t xml:space="preserve">a </w:t>
      </w:r>
      <w:r w:rsidRPr="00F52D09">
        <w:rPr>
          <w:b/>
          <w:bCs/>
          <w:u w:val="single"/>
        </w:rPr>
        <w:t xml:space="preserve">Guardian or LAR.  </w:t>
      </w:r>
      <w:r w:rsidRPr="00F52D09">
        <w:rPr>
          <w:u w:val="single"/>
        </w:rPr>
        <w:t xml:space="preserve">This policy applies to all inmates incarcerated in Texas county jails who have been legally </w:t>
      </w:r>
      <w:r w:rsidR="00D70D66" w:rsidRPr="00F52D09">
        <w:rPr>
          <w:u w:val="single"/>
        </w:rPr>
        <w:t>appointed</w:t>
      </w:r>
      <w:r w:rsidRPr="00F52D09">
        <w:rPr>
          <w:u w:val="single"/>
        </w:rPr>
        <w:t xml:space="preserve"> a </w:t>
      </w:r>
      <w:r w:rsidR="00D70D66" w:rsidRPr="00F52D09">
        <w:rPr>
          <w:u w:val="single"/>
        </w:rPr>
        <w:t>G</w:t>
      </w:r>
      <w:r w:rsidRPr="00F52D09">
        <w:rPr>
          <w:u w:val="single"/>
        </w:rPr>
        <w:t xml:space="preserve">uardian or legally authorized representative (LAR) under Texas law. </w:t>
      </w:r>
    </w:p>
    <w:p w14:paraId="708B8F49" w14:textId="36F3AD4F" w:rsidR="00CB589A" w:rsidRPr="00F52D09" w:rsidRDefault="00427315" w:rsidP="00F52D09">
      <w:pPr>
        <w:ind w:left="720"/>
        <w:rPr>
          <w:u w:val="single"/>
        </w:rPr>
      </w:pPr>
      <w:r w:rsidRPr="00F52D09">
        <w:rPr>
          <w:u w:val="single"/>
        </w:rPr>
        <w:t xml:space="preserve">(a) Inmates with a </w:t>
      </w:r>
      <w:r w:rsidR="00D70D66" w:rsidRPr="00F52D09">
        <w:rPr>
          <w:u w:val="single"/>
        </w:rPr>
        <w:t>G</w:t>
      </w:r>
      <w:r w:rsidRPr="00F52D09">
        <w:rPr>
          <w:u w:val="single"/>
        </w:rPr>
        <w:t>uardian or LAR shall receive medical care from the designated medical provider within the jail facility.</w:t>
      </w:r>
      <w:r w:rsidRPr="00F52D09">
        <w:rPr>
          <w:u w:val="single"/>
        </w:rPr>
        <w:br/>
        <w:t>(b) The attending medical provider shall retain clinical authority to determine the appropriate course of treatment based on medical necessity and professional judgment.</w:t>
      </w:r>
    </w:p>
    <w:p w14:paraId="79E775DA" w14:textId="77777777" w:rsidR="00427315" w:rsidRPr="00F52D09" w:rsidRDefault="00427315" w:rsidP="00CB589A">
      <w:pPr>
        <w:rPr>
          <w:u w:val="single"/>
        </w:rPr>
      </w:pPr>
      <w:r w:rsidRPr="00F52D09">
        <w:rPr>
          <w:b/>
          <w:bCs/>
          <w:u w:val="single"/>
        </w:rPr>
        <w:t>(4) Guardian/LAR Notification and Consent</w:t>
      </w:r>
      <w:r w:rsidRPr="00F52D09">
        <w:rPr>
          <w:u w:val="single"/>
        </w:rPr>
        <w:t xml:space="preserve"> </w:t>
      </w:r>
    </w:p>
    <w:p w14:paraId="6ED16C32" w14:textId="1C3E7DF4" w:rsidR="00CB589A" w:rsidRPr="00F52D09" w:rsidRDefault="00427315" w:rsidP="00F52D09">
      <w:pPr>
        <w:ind w:left="720"/>
        <w:rPr>
          <w:u w:val="single"/>
        </w:rPr>
      </w:pPr>
      <w:r w:rsidRPr="00F52D09">
        <w:rPr>
          <w:u w:val="single"/>
        </w:rPr>
        <w:t>(a) The medical provider shall notify and</w:t>
      </w:r>
      <w:r w:rsidR="001233E6" w:rsidRPr="00F52D09">
        <w:rPr>
          <w:u w:val="single"/>
        </w:rPr>
        <w:t xml:space="preserve"> </w:t>
      </w:r>
      <w:r w:rsidR="009B1E36" w:rsidRPr="00F52D09">
        <w:rPr>
          <w:u w:val="single"/>
        </w:rPr>
        <w:t>seek</w:t>
      </w:r>
      <w:r w:rsidR="001233E6" w:rsidRPr="00F52D09">
        <w:rPr>
          <w:u w:val="single"/>
        </w:rPr>
        <w:t xml:space="preserve"> </w:t>
      </w:r>
      <w:r w:rsidRPr="00F52D09">
        <w:rPr>
          <w:u w:val="single"/>
        </w:rPr>
        <w:t>consent from</w:t>
      </w:r>
      <w:r w:rsidR="009B1E36" w:rsidRPr="00F52D09">
        <w:rPr>
          <w:u w:val="single"/>
        </w:rPr>
        <w:t xml:space="preserve"> a</w:t>
      </w:r>
      <w:r w:rsidRPr="00F52D09">
        <w:rPr>
          <w:u w:val="single"/>
        </w:rPr>
        <w:t xml:space="preserve"> </w:t>
      </w:r>
      <w:r w:rsidR="009B1E36" w:rsidRPr="00F52D09">
        <w:rPr>
          <w:u w:val="single"/>
        </w:rPr>
        <w:t>G</w:t>
      </w:r>
      <w:r w:rsidRPr="00F52D09">
        <w:rPr>
          <w:u w:val="single"/>
        </w:rPr>
        <w:t>uardian or LAR</w:t>
      </w:r>
      <w:r w:rsidR="00090F4A" w:rsidRPr="00F52D09">
        <w:rPr>
          <w:u w:val="single"/>
        </w:rPr>
        <w:t xml:space="preserve"> with medical authority,</w:t>
      </w:r>
      <w:r w:rsidR="00962F6C" w:rsidRPr="00F52D09">
        <w:rPr>
          <w:u w:val="single"/>
        </w:rPr>
        <w:t xml:space="preserve"> for all medical decisions</w:t>
      </w:r>
      <w:r w:rsidR="00934FF5">
        <w:rPr>
          <w:u w:val="single"/>
        </w:rPr>
        <w:t xml:space="preserve">, </w:t>
      </w:r>
      <w:r w:rsidR="00AB0A69">
        <w:rPr>
          <w:u w:val="single"/>
        </w:rPr>
        <w:t xml:space="preserve">including </w:t>
      </w:r>
      <w:r w:rsidR="009E369F">
        <w:rPr>
          <w:u w:val="single"/>
        </w:rPr>
        <w:t>those listed below in sections (i)-(iii).  This requirement does not apply to the medical decisions</w:t>
      </w:r>
      <w:r w:rsidR="00962F6C" w:rsidRPr="00F52D09">
        <w:rPr>
          <w:u w:val="single"/>
        </w:rPr>
        <w:t xml:space="preserve"> specified in</w:t>
      </w:r>
      <w:r w:rsidR="00EA1325" w:rsidRPr="00F52D09">
        <w:rPr>
          <w:u w:val="single"/>
        </w:rPr>
        <w:t xml:space="preserve"> Texas Health and Safety Code 313.004</w:t>
      </w:r>
      <w:r w:rsidR="009E369F">
        <w:rPr>
          <w:u w:val="single"/>
        </w:rPr>
        <w:t>.</w:t>
      </w:r>
    </w:p>
    <w:p w14:paraId="4855A655" w14:textId="63F30A36" w:rsidR="00CB589A" w:rsidRPr="00F52D09" w:rsidRDefault="00427315" w:rsidP="00F52D09">
      <w:pPr>
        <w:pStyle w:val="ListParagraph"/>
        <w:numPr>
          <w:ilvl w:val="0"/>
          <w:numId w:val="20"/>
        </w:numPr>
        <w:rPr>
          <w:u w:val="single"/>
        </w:rPr>
      </w:pPr>
      <w:r w:rsidRPr="00F52D09">
        <w:rPr>
          <w:u w:val="single"/>
        </w:rPr>
        <w:t xml:space="preserve">The inmate has been adjudicated as </w:t>
      </w:r>
      <w:r w:rsidRPr="00F52D09">
        <w:rPr>
          <w:b/>
          <w:bCs/>
          <w:u w:val="single"/>
        </w:rPr>
        <w:t>incapacitated,</w:t>
      </w:r>
      <w:r w:rsidRPr="00F52D09">
        <w:rPr>
          <w:u w:val="single"/>
        </w:rPr>
        <w:t xml:space="preserve"> and the guardian has legal authority over medical decisions</w:t>
      </w:r>
      <w:r w:rsidR="009E369F">
        <w:rPr>
          <w:u w:val="single"/>
        </w:rPr>
        <w:t>;</w:t>
      </w:r>
      <w:r w:rsidR="001233E6" w:rsidRPr="00F52D09">
        <w:rPr>
          <w:u w:val="single"/>
        </w:rPr>
        <w:t xml:space="preserve"> or</w:t>
      </w:r>
    </w:p>
    <w:p w14:paraId="31E0EEB4" w14:textId="19D3D5C2" w:rsidR="00670946" w:rsidRPr="00F52D09" w:rsidRDefault="00427315" w:rsidP="00F52D09">
      <w:pPr>
        <w:pStyle w:val="ListParagraph"/>
        <w:numPr>
          <w:ilvl w:val="0"/>
          <w:numId w:val="20"/>
        </w:numPr>
        <w:rPr>
          <w:u w:val="single"/>
        </w:rPr>
      </w:pPr>
      <w:r w:rsidRPr="00F52D09">
        <w:rPr>
          <w:u w:val="single"/>
        </w:rPr>
        <w:t xml:space="preserve">The inmate is unable to provide informed consent and the </w:t>
      </w:r>
      <w:r w:rsidR="009E369F">
        <w:rPr>
          <w:u w:val="single"/>
        </w:rPr>
        <w:t>G</w:t>
      </w:r>
      <w:r w:rsidRPr="00F52D09">
        <w:rPr>
          <w:u w:val="single"/>
        </w:rPr>
        <w:t>uardian or LAR is legally authorized to act on their behalf.</w:t>
      </w:r>
    </w:p>
    <w:p w14:paraId="6CA58B72" w14:textId="67177A30" w:rsidR="00670946" w:rsidRPr="00F52D09" w:rsidRDefault="00670946" w:rsidP="00F52D09">
      <w:pPr>
        <w:ind w:left="720"/>
        <w:rPr>
          <w:u w:val="single"/>
        </w:rPr>
      </w:pPr>
      <w:r w:rsidRPr="00F52D09">
        <w:rPr>
          <w:u w:val="single"/>
        </w:rPr>
        <w:t xml:space="preserve">(b) In cases of </w:t>
      </w:r>
      <w:r w:rsidRPr="00F52D09">
        <w:rPr>
          <w:b/>
          <w:bCs/>
          <w:u w:val="single"/>
        </w:rPr>
        <w:t>emergency medical treatment</w:t>
      </w:r>
      <w:r w:rsidRPr="00F52D09">
        <w:rPr>
          <w:u w:val="single"/>
        </w:rPr>
        <w:t>, the medical provider may proceed without prior consent if</w:t>
      </w:r>
      <w:r w:rsidR="009E369F">
        <w:rPr>
          <w:u w:val="single"/>
        </w:rPr>
        <w:t>, based upon medical necessity and professional judgment,</w:t>
      </w:r>
      <w:r w:rsidRPr="00F52D09">
        <w:rPr>
          <w:u w:val="single"/>
        </w:rPr>
        <w:t xml:space="preserve"> delay would result in serious harm, in accordance with </w:t>
      </w:r>
      <w:r w:rsidRPr="00F52D09">
        <w:rPr>
          <w:b/>
          <w:bCs/>
          <w:u w:val="single"/>
        </w:rPr>
        <w:t>Texas Health &amp; Safety Code § 313.004</w:t>
      </w:r>
      <w:r w:rsidRPr="00F52D09">
        <w:rPr>
          <w:u w:val="single"/>
        </w:rPr>
        <w:t xml:space="preserve">. </w:t>
      </w:r>
    </w:p>
    <w:p w14:paraId="0D742DE3" w14:textId="7D5E8D03" w:rsidR="005268DA" w:rsidRDefault="009B1E36" w:rsidP="005268DA">
      <w:pPr>
        <w:ind w:left="720"/>
        <w:rPr>
          <w:highlight w:val="yellow"/>
          <w:u w:val="single"/>
        </w:rPr>
      </w:pPr>
      <w:r w:rsidRPr="00F52D09">
        <w:rPr>
          <w:u w:val="single"/>
        </w:rPr>
        <w:t>(c) The medical provider shall contact an inmate’s Guardian</w:t>
      </w:r>
      <w:r w:rsidR="00064C16" w:rsidRPr="00F52D09">
        <w:rPr>
          <w:u w:val="single"/>
        </w:rPr>
        <w:t xml:space="preserve"> </w:t>
      </w:r>
      <w:r w:rsidR="009E369F">
        <w:rPr>
          <w:u w:val="single"/>
        </w:rPr>
        <w:t xml:space="preserve">within </w:t>
      </w:r>
      <w:r w:rsidR="00C01287">
        <w:rPr>
          <w:u w:val="single"/>
        </w:rPr>
        <w:t xml:space="preserve">three business days of the provider </w:t>
      </w:r>
      <w:r w:rsidR="009E369F">
        <w:rPr>
          <w:u w:val="single"/>
        </w:rPr>
        <w:t xml:space="preserve">obtaining the Guardian’s contact information </w:t>
      </w:r>
      <w:r w:rsidR="00C01287">
        <w:rPr>
          <w:u w:val="single"/>
        </w:rPr>
        <w:t xml:space="preserve">to </w:t>
      </w:r>
      <w:r w:rsidRPr="00F52D09">
        <w:rPr>
          <w:u w:val="single"/>
        </w:rPr>
        <w:t xml:space="preserve">obtain the inmate’s medical history </w:t>
      </w:r>
      <w:r w:rsidR="00064C16" w:rsidRPr="00F52D09">
        <w:rPr>
          <w:u w:val="single"/>
        </w:rPr>
        <w:t>and</w:t>
      </w:r>
      <w:r w:rsidRPr="00F52D09">
        <w:rPr>
          <w:u w:val="single"/>
        </w:rPr>
        <w:t xml:space="preserve"> any medical records the Guardian </w:t>
      </w:r>
      <w:r w:rsidR="00064C16" w:rsidRPr="00F52D09">
        <w:rPr>
          <w:u w:val="single"/>
        </w:rPr>
        <w:t>will provide</w:t>
      </w:r>
      <w:r w:rsidRPr="00F52D09">
        <w:rPr>
          <w:u w:val="single"/>
        </w:rPr>
        <w:t>.</w:t>
      </w:r>
      <w:r w:rsidRPr="00F52D09">
        <w:rPr>
          <w:highlight w:val="yellow"/>
          <w:u w:val="single"/>
        </w:rPr>
        <w:t xml:space="preserve"> </w:t>
      </w:r>
    </w:p>
    <w:p w14:paraId="441D0FDA" w14:textId="0CE7FC0B" w:rsidR="005268DA" w:rsidRDefault="005268DA" w:rsidP="005268DA">
      <w:pPr>
        <w:ind w:left="720"/>
        <w:rPr>
          <w:u w:val="single"/>
        </w:rPr>
      </w:pPr>
      <w:r w:rsidRPr="00F52D09">
        <w:rPr>
          <w:u w:val="single"/>
        </w:rPr>
        <w:t>(d</w:t>
      </w:r>
      <w:r>
        <w:rPr>
          <w:u w:val="single"/>
        </w:rPr>
        <w:t>) The medical provider is authorized to continue the inmate on the most recent list of medications known to the jail and to prescribe life sustaining medications to the inmate without consent of the Guardian/LAR.</w:t>
      </w:r>
    </w:p>
    <w:p w14:paraId="3ABCEC84" w14:textId="6E4F8CFD" w:rsidR="005F7A27" w:rsidRPr="00F52D09" w:rsidRDefault="005F7A27" w:rsidP="00F52D09">
      <w:pPr>
        <w:ind w:left="720"/>
        <w:rPr>
          <w:u w:val="single"/>
        </w:rPr>
      </w:pPr>
      <w:r>
        <w:rPr>
          <w:u w:val="single"/>
        </w:rPr>
        <w:t>(e)</w:t>
      </w:r>
      <w:r w:rsidR="00F04A63">
        <w:rPr>
          <w:u w:val="single"/>
        </w:rPr>
        <w:t xml:space="preserve"> If </w:t>
      </w:r>
      <w:r w:rsidR="00625E6C">
        <w:rPr>
          <w:u w:val="single"/>
        </w:rPr>
        <w:t>the GDQ does not provide the contact information of a Guardian/LAR, and the inmate cannot provide contact information for the Guardian/LAR, the jail and jail medical provider are excused from any requirement to contact the Guardian.</w:t>
      </w:r>
    </w:p>
    <w:p w14:paraId="598381A8" w14:textId="77777777" w:rsidR="00CB589A" w:rsidRPr="00F52D09" w:rsidRDefault="00427315" w:rsidP="00CB589A">
      <w:pPr>
        <w:rPr>
          <w:b/>
          <w:bCs/>
          <w:u w:val="single"/>
        </w:rPr>
      </w:pPr>
      <w:r w:rsidRPr="00F52D09">
        <w:rPr>
          <w:b/>
          <w:bCs/>
          <w:u w:val="single"/>
        </w:rPr>
        <w:t>(5)  Access to Medical Records</w:t>
      </w:r>
    </w:p>
    <w:p w14:paraId="1131ABCC" w14:textId="0F23AF27" w:rsidR="00427315" w:rsidRPr="00F52D09" w:rsidRDefault="00427315" w:rsidP="00CB589A">
      <w:pPr>
        <w:ind w:left="720"/>
        <w:rPr>
          <w:u w:val="single"/>
        </w:rPr>
      </w:pPr>
      <w:r w:rsidRPr="00F52D09">
        <w:rPr>
          <w:u w:val="single"/>
        </w:rPr>
        <w:br/>
        <w:t xml:space="preserve">(a) </w:t>
      </w:r>
      <w:r w:rsidR="00B03A96" w:rsidRPr="00F52D09">
        <w:rPr>
          <w:u w:val="single"/>
        </w:rPr>
        <w:t xml:space="preserve">An appointed </w:t>
      </w:r>
      <w:r w:rsidRPr="00F52D09">
        <w:rPr>
          <w:u w:val="single"/>
        </w:rPr>
        <w:t>Guardians or LAR may request</w:t>
      </w:r>
      <w:r w:rsidR="00090F4A" w:rsidRPr="00F52D09">
        <w:rPr>
          <w:u w:val="single"/>
        </w:rPr>
        <w:t>, and shall receive</w:t>
      </w:r>
      <w:r w:rsidR="009B1E36" w:rsidRPr="00F52D09">
        <w:rPr>
          <w:u w:val="single"/>
        </w:rPr>
        <w:t>,</w:t>
      </w:r>
      <w:r w:rsidRPr="00F52D09">
        <w:rPr>
          <w:u w:val="single"/>
        </w:rPr>
        <w:t xml:space="preserve"> access to the inmate’s medical records in accordance with:</w:t>
      </w:r>
    </w:p>
    <w:p w14:paraId="39985E84" w14:textId="77777777" w:rsidR="00427315" w:rsidRPr="00F52D09" w:rsidRDefault="00427315" w:rsidP="00CB589A">
      <w:pPr>
        <w:pStyle w:val="ListParagraph"/>
        <w:numPr>
          <w:ilvl w:val="0"/>
          <w:numId w:val="21"/>
        </w:numPr>
        <w:rPr>
          <w:u w:val="single"/>
        </w:rPr>
      </w:pPr>
      <w:r w:rsidRPr="00F52D09">
        <w:rPr>
          <w:b/>
          <w:bCs/>
          <w:u w:val="single"/>
        </w:rPr>
        <w:t>HIPAA regulations</w:t>
      </w:r>
      <w:r w:rsidRPr="00F52D09">
        <w:rPr>
          <w:u w:val="single"/>
        </w:rPr>
        <w:t xml:space="preserve"> (45 CFR § 164.502(g))</w:t>
      </w:r>
    </w:p>
    <w:p w14:paraId="256ECAA4" w14:textId="750BB5BF" w:rsidR="00427315" w:rsidRPr="00F52D09" w:rsidRDefault="00427315" w:rsidP="00CB589A">
      <w:pPr>
        <w:pStyle w:val="ListParagraph"/>
        <w:numPr>
          <w:ilvl w:val="0"/>
          <w:numId w:val="21"/>
        </w:numPr>
        <w:rPr>
          <w:u w:val="single"/>
        </w:rPr>
      </w:pPr>
      <w:r w:rsidRPr="00F52D09">
        <w:rPr>
          <w:b/>
          <w:bCs/>
          <w:u w:val="single"/>
        </w:rPr>
        <w:t>Texas Health &amp; Safety Code § 181</w:t>
      </w:r>
    </w:p>
    <w:p w14:paraId="25494CD8" w14:textId="2F4B1AE9" w:rsidR="00CB589A" w:rsidRPr="00F52D09" w:rsidRDefault="00CB589A" w:rsidP="00F52D09">
      <w:pPr>
        <w:ind w:left="720"/>
        <w:rPr>
          <w:u w:val="single"/>
        </w:rPr>
      </w:pPr>
      <w:r w:rsidRPr="00F52D09">
        <w:rPr>
          <w:u w:val="single"/>
        </w:rPr>
        <w:t xml:space="preserve">(b) </w:t>
      </w:r>
      <w:r w:rsidR="00427315" w:rsidRPr="00F52D09">
        <w:rPr>
          <w:b/>
          <w:bCs/>
          <w:u w:val="single"/>
        </w:rPr>
        <w:t>Documentation</w:t>
      </w:r>
      <w:r w:rsidRPr="00F52D09">
        <w:rPr>
          <w:u w:val="single"/>
        </w:rPr>
        <w:t xml:space="preserve">: </w:t>
      </w:r>
      <w:r w:rsidR="00427315" w:rsidRPr="00F52D09">
        <w:rPr>
          <w:u w:val="single"/>
        </w:rPr>
        <w:t xml:space="preserve">All decisions regarding medical treatment, consent, refusal, and </w:t>
      </w:r>
      <w:r w:rsidR="009B1E36" w:rsidRPr="00F52D09">
        <w:rPr>
          <w:u w:val="single"/>
        </w:rPr>
        <w:t>G</w:t>
      </w:r>
      <w:r w:rsidR="00427315" w:rsidRPr="00F52D09">
        <w:rPr>
          <w:u w:val="single"/>
        </w:rPr>
        <w:t>uardian/LAR involvement shall be documented in the inmate’s clinical record, including:</w:t>
      </w:r>
    </w:p>
    <w:p w14:paraId="6939021B" w14:textId="6F5418E2" w:rsidR="00427315" w:rsidRPr="00F52D09" w:rsidRDefault="009B1E36" w:rsidP="00E574A6">
      <w:pPr>
        <w:numPr>
          <w:ilvl w:val="0"/>
          <w:numId w:val="11"/>
        </w:numPr>
        <w:ind w:left="2160" w:hanging="720"/>
        <w:contextualSpacing/>
        <w:rPr>
          <w:u w:val="single"/>
        </w:rPr>
      </w:pPr>
      <w:r w:rsidRPr="00F52D09">
        <w:rPr>
          <w:u w:val="single"/>
        </w:rPr>
        <w:t>r</w:t>
      </w:r>
      <w:r w:rsidR="00427315" w:rsidRPr="00F52D09">
        <w:rPr>
          <w:u w:val="single"/>
        </w:rPr>
        <w:t>eason for treatment</w:t>
      </w:r>
      <w:r w:rsidRPr="00F52D09">
        <w:rPr>
          <w:u w:val="single"/>
        </w:rPr>
        <w:t>;</w:t>
      </w:r>
    </w:p>
    <w:p w14:paraId="4B12A245" w14:textId="752EF8A3" w:rsidR="00427315" w:rsidRPr="00F52D09" w:rsidRDefault="00427315" w:rsidP="00E574A6">
      <w:pPr>
        <w:numPr>
          <w:ilvl w:val="0"/>
          <w:numId w:val="11"/>
        </w:numPr>
        <w:ind w:left="2160" w:hanging="720"/>
        <w:contextualSpacing/>
        <w:rPr>
          <w:u w:val="single"/>
        </w:rPr>
      </w:pPr>
      <w:r w:rsidRPr="00F52D09">
        <w:rPr>
          <w:u w:val="single"/>
        </w:rPr>
        <w:t>Guardian/LAR contact and response</w:t>
      </w:r>
      <w:r w:rsidR="009B1E36" w:rsidRPr="00F52D09">
        <w:rPr>
          <w:u w:val="single"/>
        </w:rPr>
        <w:t>;</w:t>
      </w:r>
    </w:p>
    <w:p w14:paraId="0D45E2EE" w14:textId="77777777" w:rsidR="00E574A6" w:rsidRDefault="009B1E36" w:rsidP="00E574A6">
      <w:pPr>
        <w:numPr>
          <w:ilvl w:val="0"/>
          <w:numId w:val="11"/>
        </w:numPr>
        <w:ind w:left="2160" w:hanging="720"/>
        <w:contextualSpacing/>
        <w:rPr>
          <w:u w:val="single"/>
        </w:rPr>
      </w:pPr>
      <w:r w:rsidRPr="00E574A6">
        <w:rPr>
          <w:u w:val="single"/>
        </w:rPr>
        <w:t>i</w:t>
      </w:r>
      <w:r w:rsidR="00427315" w:rsidRPr="00E574A6">
        <w:rPr>
          <w:u w:val="single"/>
        </w:rPr>
        <w:t>nmate’s expressed wishes, if known</w:t>
      </w:r>
      <w:r w:rsidRPr="00E574A6">
        <w:rPr>
          <w:u w:val="single"/>
        </w:rPr>
        <w:t xml:space="preserve">; </w:t>
      </w:r>
    </w:p>
    <w:p w14:paraId="3D935918" w14:textId="77777777" w:rsidR="00E574A6" w:rsidRDefault="009B1E36" w:rsidP="00E574A6">
      <w:pPr>
        <w:numPr>
          <w:ilvl w:val="0"/>
          <w:numId w:val="11"/>
        </w:numPr>
        <w:ind w:left="2160" w:hanging="720"/>
        <w:contextualSpacing/>
        <w:rPr>
          <w:u w:val="single"/>
        </w:rPr>
      </w:pPr>
      <w:r w:rsidRPr="00E574A6">
        <w:rPr>
          <w:u w:val="single"/>
        </w:rPr>
        <w:t>the inmate’s medical history obtained from the Guardian; and</w:t>
      </w:r>
    </w:p>
    <w:p w14:paraId="54B57D68" w14:textId="34DDD724" w:rsidR="009B1E36" w:rsidRPr="00E574A6" w:rsidRDefault="009B1E36" w:rsidP="00E574A6">
      <w:pPr>
        <w:numPr>
          <w:ilvl w:val="0"/>
          <w:numId w:val="11"/>
        </w:numPr>
        <w:ind w:left="2160" w:hanging="720"/>
        <w:contextualSpacing/>
        <w:rPr>
          <w:u w:val="single"/>
        </w:rPr>
      </w:pPr>
      <w:r w:rsidRPr="00E574A6">
        <w:rPr>
          <w:u w:val="single"/>
        </w:rPr>
        <w:t>any medical records received from the Guardian.</w:t>
      </w:r>
    </w:p>
    <w:p w14:paraId="75CBEE61" w14:textId="77777777" w:rsidR="00427315" w:rsidRPr="00427315" w:rsidRDefault="00427315" w:rsidP="00427315"/>
    <w:p w14:paraId="1DB62EC1" w14:textId="2CE2C379" w:rsidR="00427315" w:rsidRPr="00427315" w:rsidRDefault="00427315" w:rsidP="00090F4A">
      <w:r w:rsidRPr="00427315">
        <w:rPr>
          <w:b/>
          <w:bCs/>
        </w:rPr>
        <w:t xml:space="preserve"> </w:t>
      </w:r>
    </w:p>
    <w:p w14:paraId="67593461" w14:textId="77777777" w:rsidR="00427315" w:rsidRPr="00427315" w:rsidRDefault="00427315" w:rsidP="00535623">
      <w:pPr>
        <w:pStyle w:val="NormalWeb"/>
        <w:spacing w:before="0" w:beforeAutospacing="0"/>
        <w:ind w:left="375"/>
        <w:rPr>
          <w:rFonts w:ascii="Arial" w:hAnsi="Arial" w:cs="Arial"/>
          <w:color w:val="212529"/>
        </w:rPr>
      </w:pPr>
    </w:p>
    <w:p w14:paraId="3B691919" w14:textId="77777777" w:rsidR="00C81B29" w:rsidRPr="00C81B29" w:rsidRDefault="00C81B29" w:rsidP="00C81B29"/>
    <w:sectPr w:rsidR="00C81B29" w:rsidRPr="00C8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3"/>
      <w:numFmt w:val="decimal"/>
      <w:lvlText w:val="(%1)"/>
      <w:lvlJc w:val="left"/>
      <w:pPr>
        <w:ind w:left="649" w:hanging="365"/>
      </w:pPr>
      <w:rPr>
        <w:rFonts w:ascii="Arial" w:hAnsi="Arial" w:cs="Arial"/>
        <w:b w:val="0"/>
        <w:bCs w:val="0"/>
        <w:i w:val="0"/>
        <w:iCs w:val="0"/>
        <w:spacing w:val="-4"/>
        <w:w w:val="100"/>
        <w:sz w:val="24"/>
        <w:szCs w:val="24"/>
      </w:rPr>
    </w:lvl>
    <w:lvl w:ilvl="1">
      <w:numFmt w:val="bullet"/>
      <w:lvlText w:val="•"/>
      <w:lvlJc w:val="left"/>
      <w:pPr>
        <w:ind w:left="1476" w:hanging="365"/>
      </w:pPr>
    </w:lvl>
    <w:lvl w:ilvl="2">
      <w:numFmt w:val="bullet"/>
      <w:lvlText w:val="•"/>
      <w:lvlJc w:val="left"/>
      <w:pPr>
        <w:ind w:left="2312" w:hanging="365"/>
      </w:pPr>
    </w:lvl>
    <w:lvl w:ilvl="3">
      <w:numFmt w:val="bullet"/>
      <w:lvlText w:val="•"/>
      <w:lvlJc w:val="left"/>
      <w:pPr>
        <w:ind w:left="3148" w:hanging="365"/>
      </w:pPr>
    </w:lvl>
    <w:lvl w:ilvl="4">
      <w:numFmt w:val="bullet"/>
      <w:lvlText w:val="•"/>
      <w:lvlJc w:val="left"/>
      <w:pPr>
        <w:ind w:left="3984" w:hanging="365"/>
      </w:pPr>
    </w:lvl>
    <w:lvl w:ilvl="5">
      <w:numFmt w:val="bullet"/>
      <w:lvlText w:val="•"/>
      <w:lvlJc w:val="left"/>
      <w:pPr>
        <w:ind w:left="4820" w:hanging="365"/>
      </w:pPr>
    </w:lvl>
    <w:lvl w:ilvl="6">
      <w:numFmt w:val="bullet"/>
      <w:lvlText w:val="•"/>
      <w:lvlJc w:val="left"/>
      <w:pPr>
        <w:ind w:left="5656" w:hanging="365"/>
      </w:pPr>
    </w:lvl>
    <w:lvl w:ilvl="7">
      <w:numFmt w:val="bullet"/>
      <w:lvlText w:val="•"/>
      <w:lvlJc w:val="left"/>
      <w:pPr>
        <w:ind w:left="6492" w:hanging="365"/>
      </w:pPr>
    </w:lvl>
    <w:lvl w:ilvl="8">
      <w:numFmt w:val="bullet"/>
      <w:lvlText w:val="•"/>
      <w:lvlJc w:val="left"/>
      <w:pPr>
        <w:ind w:left="7328" w:hanging="365"/>
      </w:pPr>
    </w:lvl>
  </w:abstractNum>
  <w:abstractNum w:abstractNumId="1" w15:restartNumberingAfterBreak="0">
    <w:nsid w:val="00000403"/>
    <w:multiLevelType w:val="multilevel"/>
    <w:tmpl w:val="FFFFFFFF"/>
    <w:lvl w:ilvl="0">
      <w:start w:val="7"/>
      <w:numFmt w:val="decimal"/>
      <w:lvlText w:val="(%1)"/>
      <w:lvlJc w:val="left"/>
      <w:pPr>
        <w:ind w:left="649" w:hanging="365"/>
      </w:pPr>
      <w:rPr>
        <w:rFonts w:ascii="Arial" w:hAnsi="Arial" w:cs="Arial"/>
        <w:b w:val="0"/>
        <w:bCs w:val="0"/>
        <w:i w:val="0"/>
        <w:iCs w:val="0"/>
        <w:spacing w:val="-4"/>
        <w:w w:val="100"/>
        <w:sz w:val="24"/>
        <w:szCs w:val="24"/>
      </w:rPr>
    </w:lvl>
    <w:lvl w:ilvl="1">
      <w:numFmt w:val="bullet"/>
      <w:lvlText w:val="•"/>
      <w:lvlJc w:val="left"/>
      <w:pPr>
        <w:ind w:left="1476" w:hanging="365"/>
      </w:pPr>
    </w:lvl>
    <w:lvl w:ilvl="2">
      <w:numFmt w:val="bullet"/>
      <w:lvlText w:val="•"/>
      <w:lvlJc w:val="left"/>
      <w:pPr>
        <w:ind w:left="2312" w:hanging="365"/>
      </w:pPr>
    </w:lvl>
    <w:lvl w:ilvl="3">
      <w:numFmt w:val="bullet"/>
      <w:lvlText w:val="•"/>
      <w:lvlJc w:val="left"/>
      <w:pPr>
        <w:ind w:left="3148" w:hanging="365"/>
      </w:pPr>
    </w:lvl>
    <w:lvl w:ilvl="4">
      <w:numFmt w:val="bullet"/>
      <w:lvlText w:val="•"/>
      <w:lvlJc w:val="left"/>
      <w:pPr>
        <w:ind w:left="3984" w:hanging="365"/>
      </w:pPr>
    </w:lvl>
    <w:lvl w:ilvl="5">
      <w:numFmt w:val="bullet"/>
      <w:lvlText w:val="•"/>
      <w:lvlJc w:val="left"/>
      <w:pPr>
        <w:ind w:left="4820" w:hanging="365"/>
      </w:pPr>
    </w:lvl>
    <w:lvl w:ilvl="6">
      <w:numFmt w:val="bullet"/>
      <w:lvlText w:val="•"/>
      <w:lvlJc w:val="left"/>
      <w:pPr>
        <w:ind w:left="5656" w:hanging="365"/>
      </w:pPr>
    </w:lvl>
    <w:lvl w:ilvl="7">
      <w:numFmt w:val="bullet"/>
      <w:lvlText w:val="•"/>
      <w:lvlJc w:val="left"/>
      <w:pPr>
        <w:ind w:left="6492" w:hanging="365"/>
      </w:pPr>
    </w:lvl>
    <w:lvl w:ilvl="8">
      <w:numFmt w:val="bullet"/>
      <w:lvlText w:val="•"/>
      <w:lvlJc w:val="left"/>
      <w:pPr>
        <w:ind w:left="7328" w:hanging="365"/>
      </w:pPr>
    </w:lvl>
  </w:abstractNum>
  <w:abstractNum w:abstractNumId="2" w15:restartNumberingAfterBreak="0">
    <w:nsid w:val="00000404"/>
    <w:multiLevelType w:val="multilevel"/>
    <w:tmpl w:val="FFFFFFFF"/>
    <w:lvl w:ilvl="0">
      <w:start w:val="12"/>
      <w:numFmt w:val="decimal"/>
      <w:lvlText w:val="(%1)"/>
      <w:lvlJc w:val="left"/>
      <w:pPr>
        <w:ind w:left="787" w:hanging="502"/>
      </w:pPr>
      <w:rPr>
        <w:rFonts w:ascii="Arial" w:hAnsi="Arial" w:cs="Arial"/>
        <w:b w:val="0"/>
        <w:bCs w:val="0"/>
        <w:i w:val="0"/>
        <w:iCs w:val="0"/>
        <w:spacing w:val="-4"/>
        <w:w w:val="100"/>
        <w:sz w:val="24"/>
        <w:szCs w:val="24"/>
      </w:rPr>
    </w:lvl>
    <w:lvl w:ilvl="1">
      <w:numFmt w:val="bullet"/>
      <w:lvlText w:val="•"/>
      <w:lvlJc w:val="left"/>
      <w:pPr>
        <w:ind w:left="1602" w:hanging="502"/>
      </w:pPr>
    </w:lvl>
    <w:lvl w:ilvl="2">
      <w:numFmt w:val="bullet"/>
      <w:lvlText w:val="•"/>
      <w:lvlJc w:val="left"/>
      <w:pPr>
        <w:ind w:left="2424" w:hanging="502"/>
      </w:pPr>
    </w:lvl>
    <w:lvl w:ilvl="3">
      <w:numFmt w:val="bullet"/>
      <w:lvlText w:val="•"/>
      <w:lvlJc w:val="left"/>
      <w:pPr>
        <w:ind w:left="3246" w:hanging="502"/>
      </w:pPr>
    </w:lvl>
    <w:lvl w:ilvl="4">
      <w:numFmt w:val="bullet"/>
      <w:lvlText w:val="•"/>
      <w:lvlJc w:val="left"/>
      <w:pPr>
        <w:ind w:left="4068" w:hanging="502"/>
      </w:pPr>
    </w:lvl>
    <w:lvl w:ilvl="5">
      <w:numFmt w:val="bullet"/>
      <w:lvlText w:val="•"/>
      <w:lvlJc w:val="left"/>
      <w:pPr>
        <w:ind w:left="4890" w:hanging="502"/>
      </w:pPr>
    </w:lvl>
    <w:lvl w:ilvl="6">
      <w:numFmt w:val="bullet"/>
      <w:lvlText w:val="•"/>
      <w:lvlJc w:val="left"/>
      <w:pPr>
        <w:ind w:left="5712" w:hanging="502"/>
      </w:pPr>
    </w:lvl>
    <w:lvl w:ilvl="7">
      <w:numFmt w:val="bullet"/>
      <w:lvlText w:val="•"/>
      <w:lvlJc w:val="left"/>
      <w:pPr>
        <w:ind w:left="6534" w:hanging="502"/>
      </w:pPr>
    </w:lvl>
    <w:lvl w:ilvl="8">
      <w:numFmt w:val="bullet"/>
      <w:lvlText w:val="•"/>
      <w:lvlJc w:val="left"/>
      <w:pPr>
        <w:ind w:left="7356" w:hanging="502"/>
      </w:pPr>
    </w:lvl>
  </w:abstractNum>
  <w:abstractNum w:abstractNumId="3" w15:restartNumberingAfterBreak="0">
    <w:nsid w:val="0A9779B0"/>
    <w:multiLevelType w:val="multilevel"/>
    <w:tmpl w:val="3354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B7520"/>
    <w:multiLevelType w:val="hybridMultilevel"/>
    <w:tmpl w:val="961E70A8"/>
    <w:lvl w:ilvl="0" w:tplc="013838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501696"/>
    <w:multiLevelType w:val="multilevel"/>
    <w:tmpl w:val="8C762C52"/>
    <w:lvl w:ilvl="0">
      <w:start w:val="1"/>
      <w:numFmt w:val="lowerRoman"/>
      <w:lvlText w:val="(%1)"/>
      <w:lvlJc w:val="left"/>
      <w:pPr>
        <w:tabs>
          <w:tab w:val="num" w:pos="2520"/>
        </w:tabs>
        <w:ind w:left="2520" w:hanging="360"/>
      </w:pPr>
      <w:rPr>
        <w:rFonts w:asciiTheme="minorHAnsi" w:eastAsiaTheme="minorHAnsi" w:hAnsiTheme="minorHAnsi" w:cstheme="minorBidi"/>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C220417"/>
    <w:multiLevelType w:val="multilevel"/>
    <w:tmpl w:val="FFFFFFFF"/>
    <w:lvl w:ilvl="0">
      <w:start w:val="3"/>
      <w:numFmt w:val="decimal"/>
      <w:lvlText w:val="(%1)"/>
      <w:lvlJc w:val="left"/>
      <w:pPr>
        <w:ind w:left="649" w:hanging="365"/>
      </w:pPr>
      <w:rPr>
        <w:rFonts w:ascii="Arial" w:hAnsi="Arial" w:cs="Arial"/>
        <w:b w:val="0"/>
        <w:bCs w:val="0"/>
        <w:i w:val="0"/>
        <w:iCs w:val="0"/>
        <w:spacing w:val="-4"/>
        <w:w w:val="100"/>
        <w:sz w:val="24"/>
        <w:szCs w:val="24"/>
      </w:rPr>
    </w:lvl>
    <w:lvl w:ilvl="1">
      <w:numFmt w:val="bullet"/>
      <w:lvlText w:val="•"/>
      <w:lvlJc w:val="left"/>
      <w:pPr>
        <w:ind w:left="1476" w:hanging="365"/>
      </w:pPr>
    </w:lvl>
    <w:lvl w:ilvl="2">
      <w:numFmt w:val="bullet"/>
      <w:lvlText w:val="•"/>
      <w:lvlJc w:val="left"/>
      <w:pPr>
        <w:ind w:left="2312" w:hanging="365"/>
      </w:pPr>
    </w:lvl>
    <w:lvl w:ilvl="3">
      <w:numFmt w:val="bullet"/>
      <w:lvlText w:val="•"/>
      <w:lvlJc w:val="left"/>
      <w:pPr>
        <w:ind w:left="3148" w:hanging="365"/>
      </w:pPr>
    </w:lvl>
    <w:lvl w:ilvl="4">
      <w:numFmt w:val="bullet"/>
      <w:lvlText w:val="•"/>
      <w:lvlJc w:val="left"/>
      <w:pPr>
        <w:ind w:left="3984" w:hanging="365"/>
      </w:pPr>
    </w:lvl>
    <w:lvl w:ilvl="5">
      <w:numFmt w:val="bullet"/>
      <w:lvlText w:val="•"/>
      <w:lvlJc w:val="left"/>
      <w:pPr>
        <w:ind w:left="4820" w:hanging="365"/>
      </w:pPr>
    </w:lvl>
    <w:lvl w:ilvl="6">
      <w:numFmt w:val="bullet"/>
      <w:lvlText w:val="•"/>
      <w:lvlJc w:val="left"/>
      <w:pPr>
        <w:ind w:left="5656" w:hanging="365"/>
      </w:pPr>
    </w:lvl>
    <w:lvl w:ilvl="7">
      <w:numFmt w:val="bullet"/>
      <w:lvlText w:val="•"/>
      <w:lvlJc w:val="left"/>
      <w:pPr>
        <w:ind w:left="6492" w:hanging="365"/>
      </w:pPr>
    </w:lvl>
    <w:lvl w:ilvl="8">
      <w:numFmt w:val="bullet"/>
      <w:lvlText w:val="•"/>
      <w:lvlJc w:val="left"/>
      <w:pPr>
        <w:ind w:left="7328" w:hanging="365"/>
      </w:pPr>
    </w:lvl>
  </w:abstractNum>
  <w:abstractNum w:abstractNumId="7" w15:restartNumberingAfterBreak="0">
    <w:nsid w:val="1E3A5BFE"/>
    <w:multiLevelType w:val="hybridMultilevel"/>
    <w:tmpl w:val="6CB6E5C8"/>
    <w:lvl w:ilvl="0" w:tplc="D47E91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A1785"/>
    <w:multiLevelType w:val="multilevel"/>
    <w:tmpl w:val="16B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201B"/>
    <w:multiLevelType w:val="hybridMultilevel"/>
    <w:tmpl w:val="EA14AC04"/>
    <w:lvl w:ilvl="0" w:tplc="D5408A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729DA"/>
    <w:multiLevelType w:val="multilevel"/>
    <w:tmpl w:val="72B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22872"/>
    <w:multiLevelType w:val="hybridMultilevel"/>
    <w:tmpl w:val="0F0CAD58"/>
    <w:lvl w:ilvl="0" w:tplc="2CF075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E2281"/>
    <w:multiLevelType w:val="hybridMultilevel"/>
    <w:tmpl w:val="26BA16F6"/>
    <w:lvl w:ilvl="0" w:tplc="795654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43589C"/>
    <w:multiLevelType w:val="hybridMultilevel"/>
    <w:tmpl w:val="C2BC3846"/>
    <w:lvl w:ilvl="0" w:tplc="0A9A14DC">
      <w:start w:val="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C2338"/>
    <w:multiLevelType w:val="hybridMultilevel"/>
    <w:tmpl w:val="7C7C47FC"/>
    <w:lvl w:ilvl="0" w:tplc="FAF89C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1391E"/>
    <w:multiLevelType w:val="hybridMultilevel"/>
    <w:tmpl w:val="DDF0E18C"/>
    <w:lvl w:ilvl="0" w:tplc="D3EC9E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E0870"/>
    <w:multiLevelType w:val="hybridMultilevel"/>
    <w:tmpl w:val="2BC20608"/>
    <w:lvl w:ilvl="0" w:tplc="AADAED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A16A6"/>
    <w:multiLevelType w:val="hybridMultilevel"/>
    <w:tmpl w:val="6C3A8480"/>
    <w:lvl w:ilvl="0" w:tplc="AADAEDC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BCD5F10"/>
    <w:multiLevelType w:val="hybridMultilevel"/>
    <w:tmpl w:val="6DA24018"/>
    <w:lvl w:ilvl="0" w:tplc="AC62D9CE">
      <w:start w:val="1"/>
      <w:numFmt w:val="decimal"/>
      <w:lvlText w:val="(%1)"/>
      <w:lvlJc w:val="left"/>
      <w:pPr>
        <w:ind w:left="1004" w:hanging="360"/>
      </w:pPr>
      <w:rPr>
        <w:rFonts w:hint="default"/>
        <w:u w:val="singl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95591267">
    <w:abstractNumId w:val="2"/>
  </w:num>
  <w:num w:numId="2" w16cid:durableId="1867134858">
    <w:abstractNumId w:val="1"/>
  </w:num>
  <w:num w:numId="3" w16cid:durableId="1924337364">
    <w:abstractNumId w:val="0"/>
  </w:num>
  <w:num w:numId="4" w16cid:durableId="1166093633">
    <w:abstractNumId w:val="17"/>
  </w:num>
  <w:num w:numId="5" w16cid:durableId="901134420">
    <w:abstractNumId w:val="6"/>
  </w:num>
  <w:num w:numId="6" w16cid:durableId="1488858192">
    <w:abstractNumId w:val="15"/>
  </w:num>
  <w:num w:numId="7" w16cid:durableId="455370078">
    <w:abstractNumId w:val="13"/>
  </w:num>
  <w:num w:numId="8" w16cid:durableId="894894930">
    <w:abstractNumId w:val="11"/>
  </w:num>
  <w:num w:numId="9" w16cid:durableId="1346597594">
    <w:abstractNumId w:val="10"/>
  </w:num>
  <w:num w:numId="10" w16cid:durableId="1160079353">
    <w:abstractNumId w:val="8"/>
  </w:num>
  <w:num w:numId="11" w16cid:durableId="261257792">
    <w:abstractNumId w:val="5"/>
  </w:num>
  <w:num w:numId="12" w16cid:durableId="2041586077">
    <w:abstractNumId w:val="3"/>
  </w:num>
  <w:num w:numId="13" w16cid:durableId="835534755">
    <w:abstractNumId w:val="18"/>
  </w:num>
  <w:num w:numId="14" w16cid:durableId="1815217250">
    <w:abstractNumId w:val="9"/>
  </w:num>
  <w:num w:numId="15" w16cid:durableId="504370101">
    <w:abstractNumId w:val="7"/>
  </w:num>
  <w:num w:numId="16" w16cid:durableId="795224945">
    <w:abstractNumId w:val="14"/>
  </w:num>
  <w:num w:numId="17" w16cid:durableId="355621158">
    <w:abstractNumId w:val="16"/>
  </w:num>
  <w:num w:numId="18" w16cid:durableId="1856338031">
    <w:abstractNumId w:val="16"/>
    <w:lvlOverride w:ilvl="0">
      <w:lvl w:ilvl="0" w:tplc="AADAEDC8">
        <w:start w:val="1"/>
        <w:numFmt w:val="decimal"/>
        <w:lvlText w:val="(%1)"/>
        <w:lvlJc w:val="left"/>
        <w:pPr>
          <w:ind w:left="432" w:hanging="7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2125034972">
    <w:abstractNumId w:val="16"/>
    <w:lvlOverride w:ilvl="0">
      <w:lvl w:ilvl="0" w:tplc="AADAEDC8">
        <w:start w:val="1"/>
        <w:numFmt w:val="decimal"/>
        <w:lvlText w:val="(%1)"/>
        <w:lvlJc w:val="left"/>
        <w:pPr>
          <w:ind w:left="792" w:hanging="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898323797">
    <w:abstractNumId w:val="12"/>
  </w:num>
  <w:num w:numId="21" w16cid:durableId="1703820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29"/>
    <w:rsid w:val="000137E9"/>
    <w:rsid w:val="00064C16"/>
    <w:rsid w:val="00080075"/>
    <w:rsid w:val="000846D6"/>
    <w:rsid w:val="00090F4A"/>
    <w:rsid w:val="00091BF3"/>
    <w:rsid w:val="000D1BC7"/>
    <w:rsid w:val="00122A20"/>
    <w:rsid w:val="001233E6"/>
    <w:rsid w:val="00150A35"/>
    <w:rsid w:val="00154D1D"/>
    <w:rsid w:val="00181B4E"/>
    <w:rsid w:val="00267AB2"/>
    <w:rsid w:val="00296C48"/>
    <w:rsid w:val="002B280D"/>
    <w:rsid w:val="003275A3"/>
    <w:rsid w:val="003D30BC"/>
    <w:rsid w:val="003E3C8D"/>
    <w:rsid w:val="004047FC"/>
    <w:rsid w:val="00427315"/>
    <w:rsid w:val="004655E6"/>
    <w:rsid w:val="00481327"/>
    <w:rsid w:val="004A39B4"/>
    <w:rsid w:val="004B7B65"/>
    <w:rsid w:val="004F180A"/>
    <w:rsid w:val="005268DA"/>
    <w:rsid w:val="00535623"/>
    <w:rsid w:val="005F7A27"/>
    <w:rsid w:val="00625E6C"/>
    <w:rsid w:val="006328C2"/>
    <w:rsid w:val="00646105"/>
    <w:rsid w:val="00670946"/>
    <w:rsid w:val="007220B6"/>
    <w:rsid w:val="007A481A"/>
    <w:rsid w:val="00801D77"/>
    <w:rsid w:val="00836B02"/>
    <w:rsid w:val="00837DEB"/>
    <w:rsid w:val="00845F87"/>
    <w:rsid w:val="00847E95"/>
    <w:rsid w:val="008A3961"/>
    <w:rsid w:val="00934FF5"/>
    <w:rsid w:val="00954F0A"/>
    <w:rsid w:val="00962F6C"/>
    <w:rsid w:val="009B1E36"/>
    <w:rsid w:val="009C7EA6"/>
    <w:rsid w:val="009E369F"/>
    <w:rsid w:val="00A3561B"/>
    <w:rsid w:val="00A56768"/>
    <w:rsid w:val="00AB0A69"/>
    <w:rsid w:val="00AB0E18"/>
    <w:rsid w:val="00B03A96"/>
    <w:rsid w:val="00B03AD8"/>
    <w:rsid w:val="00C01287"/>
    <w:rsid w:val="00C2773E"/>
    <w:rsid w:val="00C458F1"/>
    <w:rsid w:val="00C81B29"/>
    <w:rsid w:val="00C82BF9"/>
    <w:rsid w:val="00CB589A"/>
    <w:rsid w:val="00CE44AC"/>
    <w:rsid w:val="00D31DEA"/>
    <w:rsid w:val="00D4758F"/>
    <w:rsid w:val="00D53D05"/>
    <w:rsid w:val="00D70D66"/>
    <w:rsid w:val="00DA0677"/>
    <w:rsid w:val="00DB12CA"/>
    <w:rsid w:val="00DC2AB8"/>
    <w:rsid w:val="00DC4DA6"/>
    <w:rsid w:val="00E0483F"/>
    <w:rsid w:val="00E225FC"/>
    <w:rsid w:val="00E50272"/>
    <w:rsid w:val="00E574A6"/>
    <w:rsid w:val="00E9588A"/>
    <w:rsid w:val="00EA1325"/>
    <w:rsid w:val="00EB170B"/>
    <w:rsid w:val="00EC3156"/>
    <w:rsid w:val="00EC5D49"/>
    <w:rsid w:val="00EF0568"/>
    <w:rsid w:val="00F04A63"/>
    <w:rsid w:val="00F12659"/>
    <w:rsid w:val="00F52D09"/>
    <w:rsid w:val="00FD4293"/>
    <w:rsid w:val="00FD66C1"/>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9C4E"/>
  <w15:chartTrackingRefBased/>
  <w15:docId w15:val="{CD7FCFA6-CB82-4E6C-9C54-786C5892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B29"/>
    <w:rPr>
      <w:rFonts w:eastAsiaTheme="majorEastAsia" w:cstheme="majorBidi"/>
      <w:color w:val="272727" w:themeColor="text1" w:themeTint="D8"/>
    </w:rPr>
  </w:style>
  <w:style w:type="paragraph" w:styleId="Title">
    <w:name w:val="Title"/>
    <w:basedOn w:val="Normal"/>
    <w:next w:val="Normal"/>
    <w:link w:val="TitleChar"/>
    <w:uiPriority w:val="10"/>
    <w:qFormat/>
    <w:rsid w:val="00C8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B29"/>
    <w:pPr>
      <w:spacing w:before="160"/>
      <w:jc w:val="center"/>
    </w:pPr>
    <w:rPr>
      <w:i/>
      <w:iCs/>
      <w:color w:val="404040" w:themeColor="text1" w:themeTint="BF"/>
    </w:rPr>
  </w:style>
  <w:style w:type="character" w:customStyle="1" w:styleId="QuoteChar">
    <w:name w:val="Quote Char"/>
    <w:basedOn w:val="DefaultParagraphFont"/>
    <w:link w:val="Quote"/>
    <w:uiPriority w:val="29"/>
    <w:rsid w:val="00C81B29"/>
    <w:rPr>
      <w:i/>
      <w:iCs/>
      <w:color w:val="404040" w:themeColor="text1" w:themeTint="BF"/>
    </w:rPr>
  </w:style>
  <w:style w:type="paragraph" w:styleId="ListParagraph">
    <w:name w:val="List Paragraph"/>
    <w:basedOn w:val="Normal"/>
    <w:uiPriority w:val="34"/>
    <w:qFormat/>
    <w:rsid w:val="00C81B29"/>
    <w:pPr>
      <w:ind w:left="720"/>
      <w:contextualSpacing/>
    </w:pPr>
  </w:style>
  <w:style w:type="character" w:styleId="IntenseEmphasis">
    <w:name w:val="Intense Emphasis"/>
    <w:basedOn w:val="DefaultParagraphFont"/>
    <w:uiPriority w:val="21"/>
    <w:qFormat/>
    <w:rsid w:val="00C81B29"/>
    <w:rPr>
      <w:i/>
      <w:iCs/>
      <w:color w:val="0F4761" w:themeColor="accent1" w:themeShade="BF"/>
    </w:rPr>
  </w:style>
  <w:style w:type="paragraph" w:styleId="IntenseQuote">
    <w:name w:val="Intense Quote"/>
    <w:basedOn w:val="Normal"/>
    <w:next w:val="Normal"/>
    <w:link w:val="IntenseQuoteChar"/>
    <w:uiPriority w:val="30"/>
    <w:qFormat/>
    <w:rsid w:val="00C8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B29"/>
    <w:rPr>
      <w:i/>
      <w:iCs/>
      <w:color w:val="0F4761" w:themeColor="accent1" w:themeShade="BF"/>
    </w:rPr>
  </w:style>
  <w:style w:type="character" w:styleId="IntenseReference">
    <w:name w:val="Intense Reference"/>
    <w:basedOn w:val="DefaultParagraphFont"/>
    <w:uiPriority w:val="32"/>
    <w:qFormat/>
    <w:rsid w:val="00C81B29"/>
    <w:rPr>
      <w:b/>
      <w:bCs/>
      <w:smallCaps/>
      <w:color w:val="0F4761" w:themeColor="accent1" w:themeShade="BF"/>
      <w:spacing w:val="5"/>
    </w:rPr>
  </w:style>
  <w:style w:type="paragraph" w:styleId="BodyText">
    <w:name w:val="Body Text"/>
    <w:basedOn w:val="Normal"/>
    <w:link w:val="BodyTextChar"/>
    <w:uiPriority w:val="99"/>
    <w:semiHidden/>
    <w:unhideWhenUsed/>
    <w:rsid w:val="00C81B29"/>
    <w:pPr>
      <w:spacing w:after="120"/>
    </w:pPr>
  </w:style>
  <w:style w:type="character" w:customStyle="1" w:styleId="BodyTextChar">
    <w:name w:val="Body Text Char"/>
    <w:basedOn w:val="DefaultParagraphFont"/>
    <w:link w:val="BodyText"/>
    <w:uiPriority w:val="99"/>
    <w:semiHidden/>
    <w:rsid w:val="00C81B29"/>
  </w:style>
  <w:style w:type="paragraph" w:styleId="NormalWeb">
    <w:name w:val="Normal (Web)"/>
    <w:basedOn w:val="Normal"/>
    <w:uiPriority w:val="99"/>
    <w:semiHidden/>
    <w:unhideWhenUsed/>
    <w:rsid w:val="005356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27315"/>
    <w:rPr>
      <w:color w:val="467886" w:themeColor="hyperlink"/>
      <w:u w:val="single"/>
    </w:rPr>
  </w:style>
  <w:style w:type="character" w:styleId="CommentReference">
    <w:name w:val="annotation reference"/>
    <w:basedOn w:val="DefaultParagraphFont"/>
    <w:uiPriority w:val="99"/>
    <w:semiHidden/>
    <w:unhideWhenUsed/>
    <w:rsid w:val="00DC2AB8"/>
    <w:rPr>
      <w:sz w:val="16"/>
      <w:szCs w:val="16"/>
    </w:rPr>
  </w:style>
  <w:style w:type="paragraph" w:styleId="CommentText">
    <w:name w:val="annotation text"/>
    <w:basedOn w:val="Normal"/>
    <w:link w:val="CommentTextChar"/>
    <w:uiPriority w:val="99"/>
    <w:unhideWhenUsed/>
    <w:rsid w:val="00DC2AB8"/>
    <w:pPr>
      <w:spacing w:line="240" w:lineRule="auto"/>
    </w:pPr>
    <w:rPr>
      <w:sz w:val="20"/>
      <w:szCs w:val="20"/>
    </w:rPr>
  </w:style>
  <w:style w:type="character" w:customStyle="1" w:styleId="CommentTextChar">
    <w:name w:val="Comment Text Char"/>
    <w:basedOn w:val="DefaultParagraphFont"/>
    <w:link w:val="CommentText"/>
    <w:uiPriority w:val="99"/>
    <w:rsid w:val="00DC2AB8"/>
    <w:rPr>
      <w:sz w:val="20"/>
      <w:szCs w:val="20"/>
    </w:rPr>
  </w:style>
  <w:style w:type="paragraph" w:styleId="CommentSubject">
    <w:name w:val="annotation subject"/>
    <w:basedOn w:val="CommentText"/>
    <w:next w:val="CommentText"/>
    <w:link w:val="CommentSubjectChar"/>
    <w:uiPriority w:val="99"/>
    <w:semiHidden/>
    <w:unhideWhenUsed/>
    <w:rsid w:val="00DC2AB8"/>
    <w:rPr>
      <w:b/>
      <w:bCs/>
    </w:rPr>
  </w:style>
  <w:style w:type="character" w:customStyle="1" w:styleId="CommentSubjectChar">
    <w:name w:val="Comment Subject Char"/>
    <w:basedOn w:val="CommentTextChar"/>
    <w:link w:val="CommentSubject"/>
    <w:uiPriority w:val="99"/>
    <w:semiHidden/>
    <w:rsid w:val="00DC2AB8"/>
    <w:rPr>
      <w:b/>
      <w:bCs/>
      <w:sz w:val="20"/>
      <w:szCs w:val="20"/>
    </w:rPr>
  </w:style>
  <w:style w:type="paragraph" w:styleId="BalloonText">
    <w:name w:val="Balloon Text"/>
    <w:basedOn w:val="Normal"/>
    <w:link w:val="BalloonTextChar"/>
    <w:uiPriority w:val="99"/>
    <w:semiHidden/>
    <w:unhideWhenUsed/>
    <w:rsid w:val="00EF0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68"/>
    <w:rPr>
      <w:rFonts w:ascii="Segoe UI" w:hAnsi="Segoe UI" w:cs="Segoe UI"/>
      <w:sz w:val="18"/>
      <w:szCs w:val="18"/>
    </w:rPr>
  </w:style>
  <w:style w:type="paragraph" w:styleId="Revision">
    <w:name w:val="Revision"/>
    <w:hidden/>
    <w:uiPriority w:val="99"/>
    <w:semiHidden/>
    <w:rsid w:val="00E95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atutes.capitol.texas.gov/GetStatute.aspx?Code=ES&amp;Value=1106.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utes.capitol.texas.gov/GetStatute.aspx?Code=ES&amp;Value=1002.0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9F0E-6600-4CC8-904C-B87265E5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Morgan</dc:creator>
  <cp:keywords/>
  <dc:description/>
  <cp:lastModifiedBy>Richard Morgan</cp:lastModifiedBy>
  <cp:revision>2</cp:revision>
  <dcterms:created xsi:type="dcterms:W3CDTF">2026-01-30T16:31:00Z</dcterms:created>
  <dcterms:modified xsi:type="dcterms:W3CDTF">2026-01-30T16:31:00Z</dcterms:modified>
</cp:coreProperties>
</file>